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116205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121285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6" w:lineRule="exact"/>
        <w:rPr>
          <w:sz w:val="24"/>
          <w:szCs w:val="24"/>
          <w:color w:val="auto"/>
        </w:rPr>
      </w:pPr>
    </w:p>
    <w:p>
      <w:pPr>
        <w:ind w:left="60" w:right="199" w:hanging="10"/>
        <w:spacing w:after="0" w:line="249" w:lineRule="auto"/>
        <w:tabs>
          <w:tab w:leader="none" w:pos="38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9" w:lineRule="exact"/>
        <w:rPr>
          <w:sz w:val="24"/>
          <w:szCs w:val="24"/>
          <w:color w:val="auto"/>
        </w:rPr>
      </w:pPr>
    </w:p>
    <w:p>
      <w:pPr>
        <w:ind w:left="60" w:right="179" w:hanging="10"/>
        <w:spacing w:after="0" w:line="286" w:lineRule="auto"/>
        <w:tabs>
          <w:tab w:leader="none" w:pos="3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NUMBER 001-36279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118110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TVARDI THERAPEUTICS,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62865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0" w:lineRule="exact"/>
        <w:rPr>
          <w:sz w:val="24"/>
          <w:szCs w:val="24"/>
          <w:color w:val="auto"/>
        </w:rPr>
      </w:pPr>
    </w:p>
    <w:tbl>
      <w:tblPr>
        <w:tblLayout w:type="fixed"/>
        <w:tblInd w:w="620" w:type="dxa"/>
        <w:tblCellMar>
          <w:top w:w="0" w:type="dxa"/>
          <w:left w:w="0" w:type="dxa"/>
          <w:bottom w:w="0" w:type="dxa"/>
          <w:right w:w="0" w:type="dxa"/>
        </w:tblCellMar>
      </w:tblPr>
      <w:tr>
        <w:trPr>
          <w:trHeight w:val="172"/>
        </w:trPr>
        <w:tc>
          <w:tcPr>
            <w:tcW w:w="4420" w:type="dxa"/>
            <w:vAlign w:val="bottom"/>
          </w:tcPr>
          <w:p>
            <w:pPr>
              <w:jc w:val="center"/>
              <w:ind w:right="104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75-3175693</w:t>
            </w:r>
          </w:p>
        </w:tc>
      </w:tr>
      <w:tr>
        <w:trPr>
          <w:trHeight w:val="162"/>
        </w:trPr>
        <w:tc>
          <w:tcPr>
            <w:tcW w:w="4420" w:type="dxa"/>
            <w:vAlign w:val="bottom"/>
          </w:tcPr>
          <w:p>
            <w:pPr>
              <w:jc w:val="center"/>
              <w:ind w:right="1024"/>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280" w:type="dxa"/>
            <w:vAlign w:val="bottom"/>
          </w:tcPr>
          <w:p>
            <w:pPr>
              <w:jc w:val="center"/>
              <w:ind w:left="102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2"/>
        </w:trPr>
        <w:tc>
          <w:tcPr>
            <w:tcW w:w="4420" w:type="dxa"/>
            <w:vAlign w:val="bottom"/>
          </w:tcPr>
          <w:p>
            <w:pPr>
              <w:jc w:val="center"/>
              <w:ind w:right="1024"/>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2280" w:type="dxa"/>
            <w:vAlign w:val="bottom"/>
          </w:tcPr>
          <w:p>
            <w:pPr>
              <w:jc w:val="center"/>
              <w:ind w:left="1004"/>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284"/>
        </w:trPr>
        <w:tc>
          <w:tcPr>
            <w:tcW w:w="4420" w:type="dxa"/>
            <w:vAlign w:val="bottom"/>
          </w:tcPr>
          <w:p>
            <w:pPr>
              <w:jc w:val="center"/>
              <w:ind w:right="1024"/>
              <w:spacing w:after="0"/>
              <w:rPr>
                <w:sz w:val="20"/>
                <w:szCs w:val="20"/>
                <w:color w:val="auto"/>
              </w:rPr>
            </w:pPr>
            <w:r>
              <w:rPr>
                <w:rFonts w:ascii="Times New Roman" w:cs="Times New Roman" w:eastAsia="Times New Roman" w:hAnsi="Times New Roman"/>
                <w:sz w:val="15"/>
                <w:szCs w:val="15"/>
                <w:b w:val="1"/>
                <w:bCs w:val="1"/>
                <w:color w:val="auto"/>
                <w:w w:val="99"/>
              </w:rPr>
              <w:t>3 Sugar Creek Ctr. Blvd.</w:t>
            </w:r>
          </w:p>
        </w:tc>
        <w:tc>
          <w:tcPr>
            <w:tcW w:w="2280" w:type="dxa"/>
            <w:vAlign w:val="bottom"/>
          </w:tcPr>
          <w:p>
            <w:pPr>
              <w:spacing w:after="0"/>
              <w:rPr>
                <w:sz w:val="24"/>
                <w:szCs w:val="24"/>
                <w:color w:val="auto"/>
              </w:rPr>
            </w:pPr>
          </w:p>
        </w:tc>
      </w:tr>
      <w:tr>
        <w:trPr>
          <w:trHeight w:val="162"/>
        </w:trPr>
        <w:tc>
          <w:tcPr>
            <w:tcW w:w="4420" w:type="dxa"/>
            <w:vAlign w:val="bottom"/>
          </w:tcPr>
          <w:p>
            <w:pPr>
              <w:jc w:val="center"/>
              <w:ind w:right="1024"/>
              <w:spacing w:after="0" w:line="162" w:lineRule="exact"/>
              <w:rPr>
                <w:sz w:val="20"/>
                <w:szCs w:val="20"/>
                <w:color w:val="auto"/>
              </w:rPr>
            </w:pPr>
            <w:r>
              <w:rPr>
                <w:rFonts w:ascii="Times New Roman" w:cs="Times New Roman" w:eastAsia="Times New Roman" w:hAnsi="Times New Roman"/>
                <w:sz w:val="15"/>
                <w:szCs w:val="15"/>
                <w:b w:val="1"/>
                <w:bCs w:val="1"/>
                <w:color w:val="auto"/>
              </w:rPr>
              <w:t>Suite 525</w:t>
            </w:r>
          </w:p>
        </w:tc>
        <w:tc>
          <w:tcPr>
            <w:tcW w:w="2280" w:type="dxa"/>
            <w:vAlign w:val="bottom"/>
          </w:tcPr>
          <w:p>
            <w:pPr>
              <w:spacing w:after="0"/>
              <w:rPr>
                <w:sz w:val="14"/>
                <w:szCs w:val="14"/>
                <w:color w:val="auto"/>
              </w:rPr>
            </w:pPr>
          </w:p>
        </w:tc>
      </w:tr>
      <w:tr>
        <w:trPr>
          <w:trHeight w:val="162"/>
        </w:trPr>
        <w:tc>
          <w:tcPr>
            <w:tcW w:w="4420" w:type="dxa"/>
            <w:vAlign w:val="bottom"/>
          </w:tcPr>
          <w:p>
            <w:pPr>
              <w:jc w:val="center"/>
              <w:ind w:right="1044"/>
              <w:spacing w:after="0" w:line="162" w:lineRule="exact"/>
              <w:rPr>
                <w:sz w:val="20"/>
                <w:szCs w:val="20"/>
                <w:color w:val="auto"/>
              </w:rPr>
            </w:pPr>
            <w:r>
              <w:rPr>
                <w:rFonts w:ascii="Times New Roman" w:cs="Times New Roman" w:eastAsia="Times New Roman" w:hAnsi="Times New Roman"/>
                <w:sz w:val="15"/>
                <w:szCs w:val="15"/>
                <w:b w:val="1"/>
                <w:bCs w:val="1"/>
                <w:color w:val="auto"/>
              </w:rPr>
              <w:t>Sugar Land, Texas</w:t>
            </w:r>
          </w:p>
        </w:tc>
        <w:tc>
          <w:tcPr>
            <w:tcW w:w="2280" w:type="dxa"/>
            <w:vAlign w:val="bottom"/>
          </w:tcPr>
          <w:p>
            <w:pPr>
              <w:jc w:val="right"/>
              <w:ind w:right="324"/>
              <w:spacing w:after="0" w:line="162" w:lineRule="exact"/>
              <w:rPr>
                <w:sz w:val="20"/>
                <w:szCs w:val="20"/>
                <w:color w:val="auto"/>
              </w:rPr>
            </w:pPr>
            <w:r>
              <w:rPr>
                <w:rFonts w:ascii="Times New Roman" w:cs="Times New Roman" w:eastAsia="Times New Roman" w:hAnsi="Times New Roman"/>
                <w:sz w:val="15"/>
                <w:szCs w:val="15"/>
                <w:b w:val="1"/>
                <w:bCs w:val="1"/>
                <w:color w:val="auto"/>
              </w:rPr>
              <w:t>77478</w:t>
            </w:r>
          </w:p>
        </w:tc>
      </w:tr>
      <w:tr>
        <w:trPr>
          <w:trHeight w:val="202"/>
        </w:trPr>
        <w:tc>
          <w:tcPr>
            <w:tcW w:w="4420" w:type="dxa"/>
            <w:vAlign w:val="bottom"/>
          </w:tcPr>
          <w:p>
            <w:pPr>
              <w:jc w:val="center"/>
              <w:ind w:right="1024"/>
              <w:spacing w:after="0"/>
              <w:rPr>
                <w:sz w:val="20"/>
                <w:szCs w:val="20"/>
                <w:color w:val="auto"/>
              </w:rPr>
            </w:pPr>
            <w:r>
              <w:rPr>
                <w:rFonts w:ascii="Times New Roman" w:cs="Times New Roman" w:eastAsia="Times New Roman" w:hAnsi="Times New Roman"/>
                <w:sz w:val="15"/>
                <w:szCs w:val="15"/>
                <w:b w:val="1"/>
                <w:bCs w:val="1"/>
                <w:color w:val="auto"/>
              </w:rPr>
              <w:t>(Address of registrant’s principal executive offices)</w:t>
            </w:r>
          </w:p>
        </w:tc>
        <w:tc>
          <w:tcPr>
            <w:tcW w:w="2280" w:type="dxa"/>
            <w:vAlign w:val="bottom"/>
          </w:tcPr>
          <w:p>
            <w:pPr>
              <w:jc w:val="center"/>
              <w:ind w:left="1024"/>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20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(713) 489-8654</w:t>
      </w: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8" w:lineRule="exact"/>
        <w:rPr>
          <w:sz w:val="24"/>
          <w:szCs w:val="24"/>
          <w:color w:val="auto"/>
        </w:rPr>
      </w:pPr>
    </w:p>
    <w:tbl>
      <w:tblPr>
        <w:tblLayout w:type="fixed"/>
        <w:tblInd w:w="50" w:type="dxa"/>
        <w:tblCellMar>
          <w:top w:w="0" w:type="dxa"/>
          <w:left w:w="0" w:type="dxa"/>
          <w:bottom w:w="0" w:type="dxa"/>
          <w:right w:w="0" w:type="dxa"/>
        </w:tblCellMar>
      </w:tblPr>
      <w:tr>
        <w:trPr>
          <w:trHeight w:val="175"/>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55"/>
        </w:trPr>
        <w:tc>
          <w:tcPr>
            <w:tcW w:w="298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Common Stock, par value $0.001 per share</w:t>
            </w:r>
          </w:p>
        </w:tc>
        <w:tc>
          <w:tcPr>
            <w:tcW w:w="296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TVRD</w:t>
            </w:r>
          </w:p>
        </w:tc>
        <w:tc>
          <w:tcPr>
            <w:tcW w:w="2980" w:type="dxa"/>
            <w:vAlign w:val="bottom"/>
            <w:tcBorders>
              <w:bottom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77" w:lineRule="exact"/>
        <w:rPr>
          <w:sz w:val="24"/>
          <w:szCs w:val="24"/>
          <w:color w:val="auto"/>
        </w:rPr>
      </w:pPr>
    </w:p>
    <w:p>
      <w:pPr>
        <w:ind w:left="60" w:right="119" w:firstLine="324"/>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ind w:left="60"/>
        <w:spacing w:after="0" w:line="173" w:lineRule="exact"/>
        <w:rPr>
          <w:sz w:val="20"/>
          <w:szCs w:val="20"/>
          <w:color w:val="auto"/>
        </w:rPr>
      </w:pPr>
      <w:r>
        <w:rPr>
          <w:rFonts w:ascii="Times New Roman" w:cs="Times New Roman" w:eastAsia="Times New Roman" w:hAnsi="Times New Roman"/>
          <w:sz w:val="15"/>
          <w:szCs w:val="15"/>
          <w:color w:val="auto"/>
        </w:rPr>
        <w:t xml:space="preserve">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0" w:lineRule="exact"/>
        <w:rPr>
          <w:sz w:val="24"/>
          <w:szCs w:val="24"/>
          <w:color w:val="auto"/>
        </w:rPr>
      </w:pPr>
    </w:p>
    <w:p>
      <w:pPr>
        <w:ind w:left="60" w:right="159" w:firstLine="324"/>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w:t>
      </w:r>
    </w:p>
    <w:p>
      <w:pPr>
        <w:spacing w:after="0" w:line="1" w:lineRule="exact"/>
        <w:rPr>
          <w:sz w:val="24"/>
          <w:szCs w:val="24"/>
          <w:color w:val="auto"/>
        </w:rPr>
      </w:pPr>
    </w:p>
    <w:p>
      <w:pPr>
        <w:ind w:left="60"/>
        <w:spacing w:after="0" w:line="173" w:lineRule="exact"/>
        <w:rPr>
          <w:sz w:val="20"/>
          <w:szCs w:val="20"/>
          <w:color w:val="auto"/>
        </w:rPr>
      </w:pPr>
      <w:r>
        <w:rPr>
          <w:rFonts w:ascii="Times New Roman" w:cs="Times New Roman" w:eastAsia="Times New Roman" w:hAnsi="Times New Roman"/>
          <w:sz w:val="15"/>
          <w:szCs w:val="15"/>
          <w:color w:val="auto"/>
        </w:rPr>
        <w:t xml:space="preserve">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4" w:lineRule="exact"/>
        <w:rPr>
          <w:sz w:val="24"/>
          <w:szCs w:val="24"/>
          <w:color w:val="auto"/>
        </w:rPr>
      </w:pPr>
    </w:p>
    <w:p>
      <w:pPr>
        <w:ind w:left="60" w:right="139" w:firstLine="324"/>
        <w:spacing w:after="0" w:line="24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60" w:type="dxa"/>
        <w:tblCellMar>
          <w:top w:w="0" w:type="dxa"/>
          <w:left w:w="0" w:type="dxa"/>
          <w:bottom w:w="0" w:type="dxa"/>
          <w:right w:w="0" w:type="dxa"/>
        </w:tblCellMar>
      </w:tblPr>
      <w:tr>
        <w:trPr>
          <w:trHeight w:val="201"/>
        </w:trPr>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020" w:type="dxa"/>
            <w:vAlign w:val="bottom"/>
          </w:tcPr>
          <w:p>
            <w:pPr>
              <w:ind w:left="200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020" w:type="dxa"/>
            <w:vAlign w:val="bottom"/>
          </w:tcPr>
          <w:p>
            <w:pPr>
              <w:ind w:left="2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020" w:type="dxa"/>
            <w:vAlign w:val="bottom"/>
          </w:tcPr>
          <w:p>
            <w:pPr>
              <w:ind w:left="2000"/>
              <w:spacing w:after="0"/>
              <w:rPr>
                <w:sz w:val="20"/>
                <w:szCs w:val="20"/>
                <w:color w:val="auto"/>
              </w:rPr>
            </w:pPr>
            <w:r>
              <w:rPr>
                <w:rFonts w:ascii="Times New Roman" w:cs="Times New Roman" w:eastAsia="Times New Roman" w:hAnsi="Times New Roman"/>
                <w:sz w:val="15"/>
                <w:szCs w:val="15"/>
                <w:color w:val="auto"/>
              </w:rPr>
              <w:t>Emerging growth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7" w:lineRule="exact"/>
        <w:rPr>
          <w:sz w:val="24"/>
          <w:szCs w:val="24"/>
          <w:color w:val="auto"/>
        </w:rPr>
      </w:pPr>
    </w:p>
    <w:p>
      <w:pPr>
        <w:ind w:left="60" w:right="99" w:firstLine="324"/>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8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5"/>
          <w:szCs w:val="15"/>
          <w:color w:val="auto"/>
        </w:rPr>
        <w:t>The number of outstanding shares of the registrant’s common stock, par value $0.001 per share, as of May 5, 2026 was: 9,381,344.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81280</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TVARDI THERAPEUTICS, INC.</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60" w:type="dxa"/>
            <w:vAlign w:val="bottom"/>
            <w:gridSpan w:val="19"/>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gridSpan w:val="2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00" w:type="dxa"/>
            <w:vAlign w:val="bottom"/>
          </w:tcPr>
          <w:p>
            <w:pPr>
              <w:spacing w:after="0" w:line="20" w:lineRule="exact"/>
              <w:rPr>
                <w:sz w:val="1"/>
                <w:szCs w:val="1"/>
                <w:color w:val="auto"/>
              </w:rPr>
            </w:pPr>
          </w:p>
        </w:tc>
        <w:tc>
          <w:tcPr>
            <w:tcW w:w="68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4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gridSpan w:val="21"/>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w:t>
            </w:r>
          </w:p>
        </w:tc>
        <w:tc>
          <w:tcPr>
            <w:tcW w:w="3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2026 and 2025</w:t>
            </w:r>
          </w:p>
        </w:tc>
        <w:tc>
          <w:tcPr>
            <w:tcW w:w="8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Redeemable Convertible Preferred Stock and</w:t>
            </w:r>
          </w:p>
        </w:tc>
        <w:tc>
          <w:tcPr>
            <w:tcW w:w="70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Stockholders' Equity (Deficit) for the Three Months Ended March 31, 2026 and 2025</w:t>
            </w:r>
          </w:p>
        </w:tc>
        <w:tc>
          <w:tcPr>
            <w:tcW w:w="680" w:type="dxa"/>
            <w:vAlign w:val="bottom"/>
            <w:gridSpan w:val="5"/>
          </w:tcPr>
          <w:p>
            <w:pPr>
              <w:spacing w:after="0"/>
              <w:rPr>
                <w:sz w:val="17"/>
                <w:szCs w:val="17"/>
                <w:color w:val="auto"/>
              </w:rPr>
            </w:pPr>
          </w:p>
        </w:tc>
        <w:tc>
          <w:tcPr>
            <w:tcW w:w="8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8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5380" w:type="dxa"/>
            <w:vAlign w:val="bottom"/>
            <w:gridSpan w:val="15"/>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60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5920" w:type="dxa"/>
            <w:vAlign w:val="bottom"/>
            <w:gridSpan w:val="18"/>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500" w:type="dxa"/>
            <w:vAlign w:val="bottom"/>
            <w:gridSpan w:val="1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060" w:type="dxa"/>
            <w:vAlign w:val="bottom"/>
            <w:gridSpan w:val="1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520" w:type="dxa"/>
            <w:vAlign w:val="bottom"/>
            <w:gridSpan w:val="16"/>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gridSpan w:val="19"/>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TVARDI THERAPEUTICS, INC.</w:t>
      </w:r>
    </w:p>
    <w:p>
      <w:pPr>
        <w:spacing w:after="0" w:line="1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gridSpan w:val="2"/>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as of</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31, 2026 and December 31, 2025; 9,381,344 shares issued and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200" w:type="dxa"/>
            <w:vAlign w:val="bottom"/>
            <w:gridSpan w:val="2"/>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-2802255</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TVARDI THERAPEUTICS, INC.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4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00" w:type="dxa"/>
            <w:vAlign w:val="bottom"/>
            <w:gridSpan w:val="2"/>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4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9,381,344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2,575,462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4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(loss) gain on short-term investments</w:t>
            </w:r>
          </w:p>
        </w:tc>
        <w:tc>
          <w:tcPr>
            <w:tcW w:w="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0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TVARDI THERAPEUTICS, INC.</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Borders>
              <w:bottom w:val="single" w:sz="8" w:color="auto"/>
            </w:tcBorders>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2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2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56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22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96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as of December 31, 2025</w:t>
            </w:r>
          </w:p>
        </w:tc>
        <w:tc>
          <w:tcPr>
            <w:tcW w:w="4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9,381,344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131,379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(110,450)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short-term investments</w:t>
            </w: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(6,804)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as of March 31, 2026</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9,381,344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131,749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(117,254)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2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as of December 31, 2024</w:t>
            </w:r>
          </w:p>
        </w:tc>
        <w:tc>
          <w:tcPr>
            <w:tcW w:w="10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3,963,910</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85,503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2,574,767</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1,103</w:t>
            </w: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(92,236)</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45"/>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(91,131)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4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short-term investments</w:t>
            </w:r>
          </w:p>
        </w:tc>
        <w:tc>
          <w:tcPr>
            <w:tcW w:w="4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(9,579)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as of March 31, 2025</w:t>
            </w:r>
          </w:p>
        </w:tc>
        <w:tc>
          <w:tcPr>
            <w:tcW w:w="4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3,963,910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85,503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2,575,494</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(101,815)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(100,625)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-1456690</wp:posOffset>
            </wp:positionV>
            <wp:extent cx="8890" cy="1440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40180"/>
                    </a:xfrm>
                    <a:prstGeom prst="rect">
                      <a:avLst/>
                    </a:prstGeom>
                    <a:noFill/>
                  </pic:spPr>
                </pic:pic>
              </a:graphicData>
            </a:graphic>
          </wp:anchor>
        </w:drawing>
      </w:r>
    </w:p>
    <w:p>
      <w:pPr>
        <w:spacing w:after="0" w:line="1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TVARDI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60" w:type="dxa"/>
            <w:vAlign w:val="bottom"/>
            <w:vMerge w:val="restart"/>
          </w:tcPr>
          <w:p>
            <w:pPr>
              <w:ind w:left="6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Non-cash lease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Accretion of net discounts on 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accrued on Convertible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Merger transaction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TVARDI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Nature of the Business and Basis of Presentation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Tvardi Therapeutics, Inc. and its subsidiaries (Tvardi or the Company) is a Delaware corporation headquartered in Houston, Texas. The Company is a clinical-stage biopharmaceutical company focused on the development of novel, oral, small molecule therapies targeting STAT3 to treat inflammatory and proliferative diseases with significant unmet need. Based upon its founders’ seminal work and deep understanding of the transcription factor STAT3, the Company has designed an innovative approach to directly inhibit STAT3, a highly validated, yet historically undruggable target. Leveraging this expertise, the Company is developing a pipeline of STAT3 inhibitors with a differentiated mechanism of action and convenient oral dosing. The Company’s pipeline includes two oral, small molecule STAT3 inhibitors: TTI-101 and TTI-109. TTI-101 is the Company’s first-generation direct STAT3 inhibitor, currently in Phase 1b/2 clinical development in hepatocellular carcinoma (HCC). TTI-109 is a phosphate prodrug of TTI-101 that is mechanistically identical to its parent molecule but is designed to enhance systemic drug delivery and improve tolerability. The Company submitted an Investigational New Drug (IND) application for TTI-109 in June 2025. After U.S. Food and Drug Administration (FDA) acceptance of the IND, the Company has initiated a Phase 1 trial of TTI-109 in healthy volunteers to evaluate safety, tolerability, and pharmacokinetics, as well as bioequivalence to TTI-101. In October 2025, the Company reported preliminary data from its Phase 2 clinical trial of TTI-101 in idiopathic pulmonary fibrosis (IPF) and concluded that the study did not meet its goals. The Company is continuing to evaluate the results from the trial to inform potential future development decisions.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December 17, 2024, the Delaware corporation formerly known as Tvardi Therapeutics, Inc. (Legacy Tvardi) entered into an agreement and plan of merger and reorganization (the Merger Agreement) with Cara Therapeutics, Inc. (Cara), and CT Convergence Merger Sub, Inc., a wholly-owned subsidiary of Cara (Merger Sub), pursuant to which Merger Sub merged with and into Legacy Tvardi, with Legacy Tvardi surviving the merger as a wholly-owned subsidiary of Cara (such transaction, the Merger). Upon the closing of the Merger on April 15, 2025, Cara changed its corporate name to Tvardi Therapeutics, Inc. and Legacy Tvardi’s </w:t>
      </w:r>
      <w:r>
        <w:rPr>
          <w:rFonts w:ascii="Times New Roman" w:cs="Times New Roman" w:eastAsia="Times New Roman" w:hAnsi="Times New Roman"/>
          <w:sz w:val="18"/>
          <w:szCs w:val="18"/>
          <w:color w:val="231F20"/>
        </w:rPr>
        <w:t>business continued as the business of the Company. Unless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indicated or the context otherwise requires, references in these notes to condensed consolidated financial statements to “Tvardi” and “the Company” refer to the business and operations of Legacy Tvardi prior to the Merger and to Tvardi Therapeutics, Inc. and its consolidated subsidiaries following the Merger.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successful development of TTI-101 and TTI-109,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TTI-101 and TTI-109.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188" w:lineRule="exact"/>
        <w:rPr>
          <w:sz w:val="20"/>
          <w:szCs w:val="20"/>
          <w:color w:val="auto"/>
        </w:rPr>
      </w:pPr>
    </w:p>
    <w:p>
      <w:pPr>
        <w:ind w:left="60" w:right="99" w:firstLine="324"/>
        <w:spacing w:after="0" w:line="273" w:lineRule="auto"/>
        <w:rPr>
          <w:sz w:val="20"/>
          <w:szCs w:val="20"/>
          <w:color w:val="auto"/>
        </w:rPr>
      </w:pPr>
      <w:r>
        <w:rPr>
          <w:rFonts w:ascii="Times New Roman" w:cs="Times New Roman" w:eastAsia="Times New Roman" w:hAnsi="Times New Roman"/>
          <w:sz w:val="17"/>
          <w:szCs w:val="17"/>
          <w:color w:val="auto"/>
        </w:rPr>
        <w:t>Additionally,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as well as the potential for future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which contemplates the realization of assets and satisfaction of liabilities in the normal course of business.</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and short-term investments of $19.9 million and $5.1 million, respectively. Since inception, the Company has incurred net operating losses and negative cash flows from operations. During the three months ended March 31, 2026, the Company incurred net losses of $6.8 million and used $5.9 million of cash in operating activities. As of March 31, 2026, the Company had an accumulated deficit of $117.3 million. The Company expects to continue to incur significant operating losses for the foreseeable future and may never become profitable. Losses are expected to continue as the Company continues to invest in research and development activities. The Company considered both quantitative and qualitative factors that are known or reasonably knowable as of the date that these condensed consolidated financial statements are issued and concluded that there are conditions present in the aggregate that raise substantial doubt about the Company’s ability to continue as a going concern.</w:t>
      </w:r>
    </w:p>
    <w:p>
      <w:pPr>
        <w:spacing w:after="0" w:line="188"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To date, the Company has no products approved for marketing and sale and it has not yet recorded any revenue from product sales. The Company’s ability to achieve profitability is dependent on its ability to successfully develop its compounds, conduct clinical trials, obtain regulatory approvals, and support commercialization activities for its product candidates. Any products developed will require approval of the FDA or a foreign regulatory authority prior to commercial sale.</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Significant additional funding is necessary to maintain current operations and to advance the Company’s research and development activities. The Company plans to seek additional funding through equity offerings or debt financings, credit or loan facilities, strategic alliances and licensing arrangements. The Company’s ability to access capital when and in the amount needed is not assured. As a result, the Company has concluded that management’s plans do not alleviate substantial doubt about the Company’s ability to continue as a going concern.</w:t>
      </w:r>
    </w:p>
    <w:p>
      <w:pPr>
        <w:spacing w:after="0" w:line="183"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reflect any adjustments relating to the recoverability and reclassifications of assets and liabilities that might be necessary if the Company is unable to continue as a going concern.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accordance with accounting principles generally accepted in the United States of America (GAAP). The accompanying condensed consolidated financial statements include the accounts of the Company and its consolidated subsidiaries as a result of the consummation of the Merger in April 2025. All intercompany balances and transactions have been eliminated.</w:t>
      </w:r>
    </w:p>
    <w:p>
      <w:pPr>
        <w:spacing w:after="0" w:line="18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(consisting of normal recurring adjustments) necessary to present fairly the financial position of the Company as of March 31, 2026 and December 31, 2025, and results of operations and cash flows for all periods presented. The interim results presented are not necessarily indicative of results that can be expected for the full year ending December 31, 2026.</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Upon the closing of the Merger, the outstanding shares of common stock of Legacy Tvardi (including the shares of common stock issuable upon conversion of all shares of preferred stock of Legacy Tvardi prior to the Merger) were converted into shares of the Company’s common stock, based on an exchange ratio calculated in accordance with the Merger Agreement (the Exchange Ratio). The Exchange Ratio was retroactively applied to all outstanding common shares, redeemable convertible preferred stock, and stock options of Legacy Tvardi throughout the condensed consolidated financial statements and notes to condensed consolidated financial statements. Refer to Note 3 to the consolidated financial statements included in the Company’s Annual Report on Form 10-K for the year ended December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31, 2025, as filed with the Securities and Exchange Commission (SEC) on March 31, 2026, for additional information regarding the Merger.</w:t>
      </w:r>
    </w:p>
    <w:p>
      <w:pPr>
        <w:spacing w:after="0" w:line="15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Other than policies noted below, there have been no significant changes from the significant accounting policies and estimates disclosed in Note 2 to the consolidated financial statements included in the Company’s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reported amounts of assets, liabilities, and expenses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condensed consolidated financial statements include, but are not limited to, prepaid and accrued research and development expenses, including those related to contract research organizations (CROs), contract development manufacturing organizations (CDMOs), and other third-party vendors, and the valuation of the Company’s common stock prior to the Merger, stock-based awards, and the fair value of Convertible Notes (as defined in Note 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converted to common stock upon close of the Merger. Changes in estimates are recorded in the period in which they become known.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represent potential concentrations of credit risk. The Company deposits its cash and cash equivalents in financial institutions in amounts that may exceed federally insured limits, has not experienced any losses on such accounts and does not believe it is exposed to any unusual credit risk beyond the normal credit risk associated with commercial banking relationships.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significant suppliers: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120" w:type="dxa"/>
            <w:vAlign w:val="bottom"/>
            <w:gridSpan w:val="7"/>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Pr>
          <w:p>
            <w:pPr>
              <w:spacing w:after="0"/>
              <w:rPr>
                <w:sz w:val="13"/>
                <w:szCs w:val="13"/>
                <w:color w:val="auto"/>
              </w:rPr>
            </w:pPr>
          </w:p>
        </w:tc>
        <w:tc>
          <w:tcPr>
            <w:tcW w:w="114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560" w:type="dxa"/>
            <w:vAlign w:val="bottom"/>
          </w:tcPr>
          <w:p>
            <w:pPr>
              <w:ind w:left="4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80" w:type="dxa"/>
            <w:vAlign w:val="bottom"/>
            <w:gridSpan w:val="2"/>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vMerge w:val="continue"/>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60" w:type="dxa"/>
            <w:vAlign w:val="bottom"/>
          </w:tcPr>
          <w:p>
            <w:pPr>
              <w:spacing w:after="0"/>
              <w:rPr>
                <w:sz w:val="11"/>
                <w:szCs w:val="11"/>
                <w:color w:val="auto"/>
              </w:rPr>
            </w:pPr>
          </w:p>
        </w:tc>
        <w:tc>
          <w:tcPr>
            <w:tcW w:w="10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of operating</w:t>
            </w:r>
          </w:p>
        </w:tc>
        <w:tc>
          <w:tcPr>
            <w:tcW w:w="840" w:type="dxa"/>
            <w:vAlign w:val="bottom"/>
            <w:gridSpan w:val="3"/>
          </w:tcPr>
          <w:p>
            <w:pPr>
              <w:jc w:val="right"/>
              <w:ind w:right="130"/>
              <w:spacing w:after="0" w:line="12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vMerge w:val="continue"/>
          </w:tcPr>
          <w:p>
            <w:pPr>
              <w:spacing w:after="0"/>
              <w:rPr>
                <w:sz w:val="11"/>
                <w:szCs w:val="11"/>
                <w:color w:val="auto"/>
              </w:rPr>
            </w:pPr>
          </w:p>
        </w:tc>
        <w:tc>
          <w:tcPr>
            <w:tcW w:w="1900" w:type="dxa"/>
            <w:vAlign w:val="bottom"/>
            <w:gridSpan w:val="3"/>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 of accounts payable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A</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Vendor B</w:t>
            </w:r>
          </w:p>
        </w:tc>
        <w:tc>
          <w:tcPr>
            <w:tcW w:w="54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no additional suppliers accounted for more than 10% of the Company’s operating expenses or accounts payable. The Company’s preclinical studies and clinical trials and testing could be adversely affected by a significant interruption in the supply chain from its significant suppliers.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Cash equivalents include amounts held in money market funds in the amount of $19.2 million and $20.0 million as of March 31, 2026 and December 31, 2025, respectively.</w:t>
      </w:r>
    </w:p>
    <w:p>
      <w:pPr>
        <w:spacing w:after="0" w:line="176"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The Company recorded interest income on its cash equivalents of less than $0.2 million for each of the three months ended March 31, 2026 and 2025 on its condensed consolidated statements of operations and comprehensive loss.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invests excess cash in short-term investments with high credit ratings. These securities consist primarily of U.S. Treasury Notes that are classified as “available-for-sale.” The Company classifies any investments as short-term if the maturity date is less than or equal to one year from the balance sheet date or as long-term if the maturity date is in excess of one year from the balance sheet date.</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Company’s short-term investments are carried at fair value, with the unrealized gains and losses reported as a component of accumulated other comprehensive income (loss) in stockholders’ equity (deficit). Realized gains and losses and declines in fair value due to credit-related factors are based on the specific identification method and would be included within the non-operating section of the condensed consolidated statements of operations and comprehensive loss, as needed. The Company recorded interest income on short-term investments, inclusive of accretion of its discounts on its short-term investments, of less than $0.1 million during the three months ended March 31, 2026 and $0.1 million during the three months ended March 31, 2025, which is classified as interest income in the condensed consolidated statements of operations and comprehensive loss.</w:t>
      </w:r>
    </w:p>
    <w:p>
      <w:pPr>
        <w:spacing w:after="0" w:line="19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debt securities in an unrealized loss position to determine whether the unrealized loss or any potential credit losses should be recognized within the non-operating section of the condensed consolidated statement of operations and comprehensive loss. The Company evaluates whether it intends to sell, or it is more likely than not that it will be required to sell, the security before recovery of its amortized cost basis. The credit-related portion of unrealized losses, and any subsequent improvements, are recorded in the condensed consolidated statement of operations and comprehensive loss accordingly, as needed. The portion that is not credit-related is treated in accordance with other unrealized losses as a component of accumulated other comprehensive income (loss) in stockholders’ equity (deficit). There have been no impairment or credit losses recognized during the three months ended March 31, 2026 and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including unrealized gains and losses on short-term investments held as available-for-sale. For the three months ended March 31, 2026, comprehensive loss includes net loss and a net unrealized loss on short-term investments. For the three months ended March 31, 2025, comprehensive loss includes net loss and a net unrealized gain on short-term investments.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xml:space="preserve"> (or ASU 2025-11). The amendments in ASU 2025-11 are intended to improve the clarity and navigability of the interim reporting guidance in Topic 270 by clarifying its applicability, the types of interim reporting subject to the guidance, and the form and content of interim financial statements. The update also provides a comprehensive list of required interim disclosures and introduces a disclosure principle requiring entities to disclose events occurring since the end of the most recent annual reporting period that have a material impact on the entity, without fundamentally changing or expanding existing disclosure requirements. This guidance is effective for interim reporting periods within annual reporting periods beginning after December 15, 2027 for public business entities, with early adoption permitted. The Company is currently evaluating the provisions of this guidance and the potential impact on its condensed consolidated financial statements and disclosures.</w:t>
      </w:r>
    </w:p>
    <w:p>
      <w:pPr>
        <w:spacing w:after="0" w:line="192"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(or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ASU 2024-03 address investor requests for more detailed expense information and require additional disaggregated disclosures in the notes to financial statements for certain categories of expenses that are included in the statement of operations. This guidance is effective for fiscal years beginning after December 15, 2026, and interim periods within fiscal years beginning after December 15, 2027, with early adoption permitted. The Company</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is currently evaluating the provisions of this guidance and the potential impact on its condensed consolidated financial statements and disclosures.</w:t>
      </w:r>
    </w:p>
    <w:p>
      <w:pPr>
        <w:spacing w:after="0" w:line="374"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Fair Value Measurements</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gridSpan w:val="1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8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300" w:type="dxa"/>
            <w:vAlign w:val="bottom"/>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w w:val="97"/>
              </w:rPr>
              <w:t>Financial assets:</w:t>
            </w:r>
          </w:p>
        </w:tc>
        <w:tc>
          <w:tcPr>
            <w:tcW w:w="1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4"/>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2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Notes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1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8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300" w:type="dxa"/>
            <w:vAlign w:val="bottom"/>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gridSpan w:val="2"/>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w w:val="99"/>
              </w:rPr>
              <w:t>Financial assets:</w:t>
            </w:r>
          </w:p>
        </w:tc>
        <w:tc>
          <w:tcPr>
            <w:tcW w:w="1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4"/>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2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Notes</w:t>
            </w:r>
          </w:p>
        </w:tc>
        <w:tc>
          <w:tcPr>
            <w:tcW w:w="18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2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have any Level 3 assets or liabilities as of March 31, 2026 and December 31, 2025. There were no transfers between Levels during the periods presented.</w:t>
      </w:r>
    </w:p>
    <w:p>
      <w:pPr>
        <w:spacing w:after="0" w:line="162"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The unrealized loss on the Company’s short-term investments for the three months ended March 31, 2026 and the unrealized gain on the Company’s short-term investments for the three months ended March 31, 2025 were not material.</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December 2024, Legacy Tvardi entered into a note purchase agreement to issue and sell convertible notes (the Convertible Notes) in an aggregate principal amount of $28.3 million. The Convertible Notes accrued interest at 8% per annum and had a maturity date of December 31, 2026. Upon the closing of the Merger in April 2025, the Convertible Notes converted into 1,265,757 shares of the Company’s common stock, $0.001 par value per share, in the aggregate. As a result, there were no Convertible Notes outstanding as of March 31, 2026 and December 31, 2025.</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Since the Company elected the fair value option to account for the Convertible Notes, the change in fair value of the Convertible Notes of $4.9 million was recorded within other expense on the Company’s condensed consolidated statement of operations and comprehensive loss for the three months ended March 31, 2025. For the three months ended March 31, 2025, the Company recognized $0.6 million in interest expense related to the Convertible Notes, which was recorded in other expense on the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 xml:space="preserve">Prepaid </w:t>
      </w:r>
      <w:r>
        <w:rPr>
          <w:rFonts w:ascii="Times New Roman" w:cs="Times New Roman" w:eastAsia="Times New Roman" w:hAnsi="Times New Roman"/>
          <w:sz w:val="18"/>
          <w:szCs w:val="18"/>
          <w:b w:val="1"/>
          <w:bCs w:val="1"/>
          <w:color w:val="000000"/>
        </w:rPr>
        <w:t>Expenses and Other Current Assets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2026 and December 31,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2"/>
        </w:trPr>
        <w:tc>
          <w:tcPr>
            <w:tcW w:w="4880" w:type="dxa"/>
            <w:vAlign w:val="bottom"/>
          </w:tcPr>
          <w:p>
            <w:pPr>
              <w:spacing w:after="0"/>
              <w:rPr>
                <w:sz w:val="12"/>
                <w:szCs w:val="12"/>
                <w:color w:val="auto"/>
              </w:rPr>
            </w:pPr>
          </w:p>
        </w:tc>
        <w:tc>
          <w:tcPr>
            <w:tcW w:w="1700" w:type="dxa"/>
            <w:vAlign w:val="bottom"/>
            <w:gridSpan w:val="2"/>
          </w:tcPr>
          <w:p>
            <w:pPr>
              <w:ind w:left="1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Intangible Assets</w:t>
      </w:r>
    </w:p>
    <w:p>
      <w:pPr>
        <w:spacing w:after="0" w:line="229" w:lineRule="exact"/>
        <w:rPr>
          <w:rFonts w:ascii="Times New Roman" w:cs="Times New Roman" w:eastAsia="Times New Roman" w:hAnsi="Times New Roman"/>
          <w:sz w:val="18"/>
          <w:szCs w:val="18"/>
          <w:b w:val="1"/>
          <w:bCs w:val="1"/>
          <w:color w:val="231F20"/>
        </w:rPr>
      </w:pPr>
    </w:p>
    <w:p>
      <w:pPr>
        <w:ind w:left="38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Intangible assets consisted of the following as of March 31, 2026 and December 31, 2025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4660" w:type="dxa"/>
            <w:vAlign w:val="bottom"/>
            <w:gridSpan w:val="11"/>
          </w:tcPr>
          <w:p>
            <w:pPr>
              <w:ind w:left="2060"/>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6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2"/>
        </w:trPr>
        <w:tc>
          <w:tcPr>
            <w:tcW w:w="42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patent rights</w:t>
            </w:r>
          </w:p>
        </w:tc>
        <w:tc>
          <w:tcPr>
            <w:tcW w:w="2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As of March 31, 2026, the expected remaining amortization expense is as follows (in thousands):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less than $0.1 million for amortization expense for each of the three months ended March 31, 2026 and 2025. Amortization expense is included in research and development expense in the condensed consolidated statements of operations and comprehensive loss.</w:t>
      </w:r>
    </w:p>
    <w:p>
      <w:pPr>
        <w:spacing w:after="0" w:line="172"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Accrued Expenses</w:t>
      </w:r>
    </w:p>
    <w:p>
      <w:pPr>
        <w:spacing w:after="0" w:line="229" w:lineRule="exact"/>
        <w:rPr>
          <w:rFonts w:ascii="Times New Roman" w:cs="Times New Roman" w:eastAsia="Times New Roman" w:hAnsi="Times New Roman"/>
          <w:sz w:val="18"/>
          <w:szCs w:val="18"/>
          <w:b w:val="1"/>
          <w:bCs w:val="1"/>
          <w:color w:val="231F20"/>
        </w:rPr>
      </w:pPr>
    </w:p>
    <w:p>
      <w:pPr>
        <w:ind w:left="38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Accrued expenses consisted of the following as of March 31, 2026 and December 31, 2025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64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 As of March 31,</w:t>
            </w:r>
          </w:p>
        </w:tc>
        <w:tc>
          <w:tcPr>
            <w:tcW w:w="16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6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ind w:left="1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CEEFF"/>
            </w:tcBorders>
          </w:tcPr>
          <w:p>
            <w:pPr>
              <w:spacing w:after="0"/>
              <w:rPr>
                <w:sz w:val="18"/>
                <w:szCs w:val="18"/>
                <w:color w:val="auto"/>
              </w:rPr>
            </w:pPr>
          </w:p>
        </w:tc>
      </w:tr>
      <w:tr>
        <w:trPr>
          <w:trHeight w:val="210"/>
        </w:trPr>
        <w:tc>
          <w:tcPr>
            <w:tcW w:w="4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1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Leases</w:t>
      </w:r>
    </w:p>
    <w:p>
      <w:pPr>
        <w:spacing w:after="0" w:line="229"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The Company has one operating lease pertaining to 5,969 square feet of corporate office space in Sugar Land, Texas pursuant to a lease agreement that commenced April 1, 2022. As of March 31, 2026, the remaining term of lease was 1.33 years. The lease requires monthly lease payments that are subject to annual increases throughout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The components of lease costs, which are included within general and administrative expenses in the Company’s condensed consolidated statements of operations and comprehensive loss were as follows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5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2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2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2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2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22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disclosure of cash flow information related to the lease were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gridSpan w:val="9"/>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4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weighted-average discount rate and remaining lease term were as follows: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80" w:type="dxa"/>
            <w:vAlign w:val="bottom"/>
            <w:gridSpan w:val="3"/>
            <w:vMerge w:val="restart"/>
          </w:tcPr>
          <w:p>
            <w:pPr>
              <w:ind w:left="5780"/>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gridSpan w:val="9"/>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gridSpan w:val="2"/>
          </w:tcPr>
          <w:p>
            <w:pPr>
              <w:ind w:left="5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Borders>
              <w:top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the maturities of the Company’s operating lease liabilities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 portion</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5,000,000 shares of preferred stock authorized, $0.001 par value, pursuant to its amended and restated certificate of incorporation which was assumed in connection with the Merger Agreement in April 2025. However, no such shares were issued or outstanding as of March 31, 2026 or December 31,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as a result of the Merger, the Company’s amended and restated certificate of incorporation authorized the issuance of 150,000,000 shares of $0.001 par value common stock, of which 9,381,344 shares were issued and outstanding.</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if any. As of March 31, 2026, no dividends were declared.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Redeemable Convertible Preferred Stock</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Legacy Tvardi had issued Series A preferred stock and Series B preferred stock (the Preferred Stock) and classified the Preferred Stock as temporary equity since the shares had redemption features that were not entirely within the control of Legacy Tvardi. Upon the closing of the Merger in April 2025, Legacy Tvardi’s Preferred Stock converted into 3,963,910 shares of the Company’s common stock. As a result, there was no Preferred Stock remaining as of March 31, 2026 and December 31, 2025.</w:t>
      </w:r>
    </w:p>
    <w:p>
      <w:pPr>
        <w:spacing w:after="0" w:line="179"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Legacy Tvardi’s 2018 Stock Incentive Plan (the 2018 Plan) provided employees, consultants and advisors and non-employee members of the Board of Directors and its affiliates with the opportunity to receive grants of stock options, stock awards and equity awards. Since inception, Legacy Tvardi only issued stock options. The Company assumed, effective as of the closing of the Merger, the 2018 Plan, as well as the outstanding awards granted thereunder and the award agreements evidencing the grants of such awards, including any awards granted to the Company’s named executive officers, in each case subject to applicable adjustments in the manner set forth in the Merger Agreement to such awards. No further awards will be granted under the 2018 Plan following the Merger.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Company’s 2025 Equity Incentive Plan (the 2025 Plan) became effective at the closing of the Merger. As of the effective time of the Merger, there were 935,554 shares of the Company’s common stock available for grant under the 2025 Plan. In addition, the number of shares initially reserved and available for issuance under the 2025 Plan may be increased at the discretion of the Company’s Board of Directors (and without any further action by the Company’s stockholders) on January 1 of each year for a period of five years, commencing on January 1, 2026 and ending on January 1, 2030, in an amount not to exceed 5% of the total number of shares of the Fully Diluted Common Stock (as defined in the 2025 Plan) determined on December 31 of the preceding year, if the Company’s Board of Directors acts prior to January 1 of a given year to provide that the increase for such year will occur and to determine the applicable number of additional shares of the Company’s common stock. In the absence of action by the Company’s Board of Directors, no such increase will automatically occur. On January 1, 2026, the aggregate number of shares of common stock that may be issued pursuant to the 2025 Plan increased from 935,554 to 1,465,233, as approved by the Board of Directors.</w:t>
      </w:r>
    </w:p>
    <w:p>
      <w:pPr>
        <w:spacing w:after="0" w:line="19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Shares underlying any Awards that are forfeited, canceled, or reacquired by the Company prior to vesting, satisfied without the issuance of stock or otherwise terminated and shares that are withheld upon exercise of an option of settlement of an award to cover the exercise price or tax withholding shall be added back to the shares available for issuance under the 2025 Plan. As of March 31, 2026, the Company had 680,650 shares remaining available for grant under the 2025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Company’s 2025 Employee Stock Purchase Plan (the 2025 ESPP) became effective at the closing of the Merger. As of the effective time of the Merger, there were 93,555 shares of the Company’s common stock reserved for issuance under the 2025 ESPP (the Initial Share Reserve). Additionally, the number of shares of common stock reserved for issuance under the 2025 ESPP will automatically increase on January 1 of each year for a period of up to ten years, beginning on January 1, 2026 and continuing through and including January 1, 2035, by an amount equal to the lesser of</w:t>
      </w:r>
    </w:p>
    <w:p>
      <w:pPr>
        <w:spacing w:after="0" w:line="3" w:lineRule="exact"/>
        <w:rPr>
          <w:sz w:val="20"/>
          <w:szCs w:val="20"/>
          <w:color w:val="auto"/>
        </w:rPr>
      </w:pPr>
    </w:p>
    <w:p>
      <w:pPr>
        <w:ind w:left="60" w:right="239" w:hanging="10"/>
        <w:spacing w:after="0" w:line="252" w:lineRule="auto"/>
        <w:tabs>
          <w:tab w:leader="none" w:pos="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the Fully Diluted Common Stock (as defined in the 2025 ESPP) determined on December 31 of the preceding year, and (ii) a number of shares equal to three times the Initial Share Reserve. Notwithstanding the foregoing, the Company’s Board of Directors may act prior to January 1st of a given year to provide that the increase for such year will be a lesser number of shares. No offering periods under the 2025 ESPP had been initiated as of March 31, 2026. On January 1, 2026, the aggregate number of shares of common stock that may be issued pursuant to the 2025 ESPP automatically increased from 93,555 to 199,490.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Inputs</w:t>
      </w:r>
    </w:p>
    <w:p>
      <w:pPr>
        <w:spacing w:after="0" w:line="229"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The fair value of stock option grants is estimated using the Black-Scholes option-pricing model. The Company historically had been a private company prior to the Merger and lacked company-specific historical and implied volatility information. Therefore, it estimated its expected stock volatility based on the historical volatility of a publicly traded set of peer companies and expects to continue to do so after the Merger until such time as it has adequate historical data regarding the volatility of its own publicly traded stock price. The expected option term is calculated based on the simplified method for awards with service-based conditions, which uses the midpoint between the vesting date and the contractual term, as the Company does not have sufficient historical data to develop an estimate based on participant behavior.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 For options granted during the three months ended March 31, 2026, the Company’s closing stock price on the grant date was used.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6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10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fair value of common stock</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70.50 %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294,750 stock options during the three months ended March 31, 2026. There were no stock options granted during the three months ended March 31, 2025.</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per share of options granted to employees during the three months ended March 31, 2026 was $2.60. Forfeitures of stock options are recorded as incurred.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option activity during the three months ended March 31, 2026:</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1,212,246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1,506,996</w:t>
            </w:r>
          </w:p>
        </w:tc>
        <w:tc>
          <w:tcPr>
            <w:tcW w:w="320" w:type="dxa"/>
            <w:vAlign w:val="bottom"/>
            <w:tcBorders>
              <w:top w:val="single" w:sz="8" w:color="CCEEFF"/>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tcBorders>
              <w:top w:val="single" w:sz="8" w:color="CCEEFF"/>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March 31, 2026</w:t>
            </w: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822,040</w:t>
            </w:r>
          </w:p>
        </w:tc>
        <w:tc>
          <w:tcPr>
            <w:tcW w:w="320" w:type="dxa"/>
            <w:vAlign w:val="bottom"/>
            <w:tcBorders>
              <w:bottom w:val="single" w:sz="8" w:color="CCEEFF"/>
            </w:tcBorders>
            <w:gridSpan w:val="2"/>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6.38</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5.40</w:t>
            </w:r>
          </w:p>
        </w:tc>
        <w:tc>
          <w:tcPr>
            <w:tcW w:w="320" w:type="dxa"/>
            <w:vAlign w:val="bottom"/>
            <w:tcBorders>
              <w:bottom w:val="single" w:sz="8" w:color="CCEEFF"/>
            </w:tcBorders>
            <w:gridSpan w:val="2"/>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Vested and expected to vest as of</w:t>
            </w:r>
          </w:p>
        </w:tc>
        <w:tc>
          <w:tcPr>
            <w:tcW w:w="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1,506,996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80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There were no exercises of stock options during the three months ended March 31, 2026. The aggregate intrinsic value of stock options exercised during the three months ended March 31, 2025 was less than $0.1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stock-based compensation in the condensed consolidated statements of operations and comprehensive loss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40" w:type="dxa"/>
            <w:vAlign w:val="bottom"/>
            <w:vMerge w:val="restart"/>
          </w:tcPr>
          <w:p>
            <w:pPr>
              <w:ind w:left="6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5"/>
                <w:szCs w:val="15"/>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was $4.4 million of total unrecognized compensation cost related to unvested stock options, which is expected to be recognized over a weighted-average period of 3.05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there was no current or deferred income tax expense or benefit due to the Company’s current year losses and full valuation allowance. As of March 31, 2026, the Company evaluated all available evidence and concluded that a valuation allowance is still required against its net deferred tax assets because it is more likely than not they will not be realized in the foreseeable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for basic and diluted net loss per share attributable to common</w:t>
            </w:r>
          </w:p>
        </w:tc>
        <w:tc>
          <w:tcPr>
            <w:tcW w:w="7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48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80" w:type="dxa"/>
            <w:vAlign w:val="bottom"/>
            <w:gridSpan w:val="3"/>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2,575,462</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5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0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the Company’s potentially dilutive securities include its stock options to purchase common stock. For the three months ended March 31, 2025, the Company’s potentially dilutive securities include its stock options to purchase common stock, Preferred Stock, and Convertible Notes. All of the Company’s potentially dilutive securities have been excluded from the computation of diluted net loss per share for each of the three months ended March 31, 2026 and 2025, as the effect would be anti-dilutive. Therefore, the weighted-average number of common shares outstanding used to calculate both basic and diluted net loss per share attributable to common stockholders for the three months ended March 31, 2026 and 2025 is the same.</w:t>
      </w:r>
    </w:p>
    <w:p>
      <w:pPr>
        <w:spacing w:after="0" w:line="18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share due to their anti-dilutive effect: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(as converted to common stock)</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3,963,910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1,506,996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Company’s Convertible Notes were also considered potentially dilutive securities, with the amount of shares issued upon conversion to be determined based on the manner in which they could be settled. Following the close of the Merger in April 2025, the Company’s Convertible Notes converted into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1,265,757 shares of the Company’s common stock. In addition, upon closing of the Merger, all of the Company’s Preferred Stock converted into shares of the Company’s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sheets. The Company does not accrue for contingent losses that, in its judgment, are considered to be reasonably possible, but not probable; however, it discloses the range of reasonably possible losses. As of March 31, 2026 and December 31, 2025, the Company was not a party to any material legal proceedings or claims.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members of the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March 31, 2026 and December 31,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Company’s obligation to make potential royalty payments under the BCM First Agreement and BCM Second Agreement (both as discussed and defined in Note 13,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the Company is also obligated to pay royalties to each of its founders in an amount equal to 1% each on the worldwide net sales of TTI-101 and any derivative formulations, or any Royalty Bearing Products. These royalty obligations last, on a country-by-country basis, for the later of (i) the date on which the sale of any Royalty Bearing Products are no longer covered by a Covered Patent (as defined below) in such country, or (ii) 15 years after the first commercial sale of royalty bearing product in such country. The timing of when these royalty payments will actually be made is uncertain as the payments are contingent upon future activities, including the successful development, regulatory approval and commercialization of any Royalty Bearing Products. A Covered Patent means, subject to certain customary exceptions, an issued patent that is owned by the Company or an affiliate, or for which all rights to develop and commercialize pharmaceutical products for the treatment of any human disorder, are exclusively licensed to the Company or an affiliate by the owner of such patent, with the Company’s right or its affiliate’s right to grant sublicenses.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13. License Agreements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July 2012, Stem Med Limited Partnership (StemMed) entered into a license agreement (the BCM First Agreement) with Baylor College of Medicine (BCM) for the exclusive, worldwide, sublicensable license to certain patents and patent applications related to STAT3 inhibitors in oncology and certain non-oncology indications (the BCM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Patent Rights), which are referred to together with certain cell lines, biological materials, compounds, know-how and technologies as the BCM Technology, in all fields of use. Under the license for the BCM First Agreement, the Company is permitted to make, have made, use, market, sell, offer to sell, lease and import products, processes or services that incorporate, utilize, or are made with the use of the BCM Patent Rights or BCM Technology, which is referred to together as the BCM1 Licensed Products, in all fields of use.</w:t>
      </w:r>
    </w:p>
    <w:p>
      <w:pPr>
        <w:spacing w:after="0" w:line="183"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In June 2015, StemMed entered into a second license agreement with BCM (the BCM Second Agreement), which is referred to together with the BCM First Agreement as the BCM License Agreements, for the exclusive, worldwide, sublicensable license to certain patents and patent applications co-owned by BCM and the National Institutes of Health (NIH) related to methods and compositions for the use of STAT3 inhibitors in certain conditions like anaphylaxis (the Licensed Patent Rights). Under the license for the Second BCM Agreement, the Company is permitted to make, have made, use, market, sell, offer to sell, lease and import products, processes or services that incorporate, utilize or are made with the use of the Licensed Patent Rights (the BCM2 Licensed Products), in all fields of use.</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StemMed assigned the BCM First Agreement and the BCM Second Agreement to the Company in connection with the transfer of all or substantially all of the assets and businesses to which the BCM License Agreements relate to in January and February 2018.</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accordance with BCM License Agreements, and in consideration for the rights and licenses granted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the Company agreed to pay BCM the following:</w:t>
      </w:r>
    </w:p>
    <w:p>
      <w:pPr>
        <w:spacing w:after="0" w:line="207" w:lineRule="exact"/>
        <w:rPr>
          <w:sz w:val="20"/>
          <w:szCs w:val="20"/>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Annual maintenance fees, ranging from $30,000 to $50,000 per year, per license.</w:t>
      </w:r>
    </w:p>
    <w:p>
      <w:pPr>
        <w:spacing w:after="0" w:line="2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Milestone payments, up to a low-seven digit figure in the aggregate.</w:t>
      </w:r>
    </w:p>
    <w:p>
      <w:pPr>
        <w:spacing w:after="0" w:line="9" w:lineRule="exact"/>
        <w:rPr>
          <w:rFonts w:ascii="Times New Roman" w:cs="Times New Roman" w:eastAsia="Times New Roman" w:hAnsi="Times New Roman"/>
          <w:sz w:val="18"/>
          <w:szCs w:val="18"/>
          <w:color w:val="auto"/>
        </w:rPr>
      </w:pPr>
    </w:p>
    <w:p>
      <w:pPr>
        <w:ind w:left="1020" w:right="519" w:hanging="322"/>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Royalty fees, set at a low single-digit percentage of net sales of any BCM1 Licensed Products or BCM2 Licensed Products.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Milestones include new drug filings, clinical trial stages, and New Drug Application approval by the FDA.</w:t>
      </w:r>
    </w:p>
    <w:p>
      <w:pPr>
        <w:spacing w:after="0" w:line="22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 accrued $12,500 in annual maintenance fees. As of December 31, 2025, the full amount of $50,000 in annual maintenance fees had already been paid and thus no accrual was needed. No payments for maintenance or milestone fees were made during the three months ended March 31, 2026 and 2025. No royalty fees have been incurred to date. All related license costs are expensed as incurred within research and development on the condensed consolidated statements of operations and comprehensive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14. Segment Reporting</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the discovery and development of novel orally bioavailable, small molecule therapies across a broad range of diseases driven by STAT3 with high unmet need.</w:t>
      </w:r>
    </w:p>
    <w:p>
      <w:pPr>
        <w:spacing w:after="0" w:line="16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its Chief Executive Officer and Chief Financial Officer, manages the Company’s operations at a company-wide level for the purpose of allocating resources. The key measure of segment profit or loss that the CODM uses to allocate resources and assess financial performance is the Company’s net loss, which is utilized to evaluate the progress of its research and development programs and other expense categories. The CODM makes decisions using this information on a company-wide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as computed under GAAP, to the Company’s net loss in the condensed consolidated statements of operations and comprehensive loss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3"/>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TTI-101:</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HCC</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8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IPF</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mBC</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Pre-clinical, CMC, and other (unallocated) </w:t>
            </w:r>
            <w:r>
              <w:rPr>
                <w:rFonts w:ascii="Times New Roman" w:cs="Times New Roman" w:eastAsia="Times New Roman" w:hAnsi="Times New Roman"/>
                <w:sz w:val="25"/>
                <w:szCs w:val="25"/>
                <w:color w:val="auto"/>
                <w:vertAlign w:val="superscript"/>
              </w:rPr>
              <w:t>(1)</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TTI-109</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 costs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Consultant fees and other costs </w:t>
            </w:r>
            <w:r>
              <w:rPr>
                <w:rFonts w:ascii="Times New Roman" w:cs="Times New Roman" w:eastAsia="Times New Roman" w:hAnsi="Times New Roman"/>
                <w:sz w:val="25"/>
                <w:szCs w:val="25"/>
                <w:color w:val="auto"/>
                <w:vertAlign w:val="superscript"/>
              </w:rPr>
              <w:t>(2)</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Personnel costs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Other general and administrative expenses </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0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00" w:right="359" w:hanging="326"/>
        <w:spacing w:after="0" w:line="218" w:lineRule="auto"/>
        <w:tabs>
          <w:tab w:leader="none" w:pos="700" w:val="left"/>
        </w:tabs>
        <w:numPr>
          <w:ilvl w:val="0"/>
          <w:numId w:val="14"/>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7"/>
          <w:szCs w:val="17"/>
          <w:color w:val="231F20"/>
        </w:rPr>
        <w:t>Pre-clinical, chemistry, manufacturing and control (CMC), and other (unallocated) costs include preclinical testing, CMC, and other direct research and development expenses that are not allocated to a specific program.</w:t>
      </w:r>
    </w:p>
    <w:p>
      <w:pPr>
        <w:spacing w:after="0" w:line="1" w:lineRule="exact"/>
        <w:rPr>
          <w:rFonts w:ascii="Times New Roman" w:cs="Times New Roman" w:eastAsia="Times New Roman" w:hAnsi="Times New Roman"/>
          <w:sz w:val="26"/>
          <w:szCs w:val="26"/>
          <w:color w:val="231F20"/>
          <w:vertAlign w:val="superscript"/>
        </w:rPr>
      </w:pPr>
    </w:p>
    <w:p>
      <w:pPr>
        <w:ind w:left="700" w:right="399" w:hanging="326"/>
        <w:spacing w:after="0" w:line="200" w:lineRule="auto"/>
        <w:tabs>
          <w:tab w:leader="none" w:pos="700" w:val="left"/>
        </w:tabs>
        <w:numPr>
          <w:ilvl w:val="0"/>
          <w:numId w:val="14"/>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Consultant fees and other costs include expenses incurred for research and development consultants as well as payroll costs for employees within the research and development function.</w:t>
      </w:r>
    </w:p>
    <w:p>
      <w:pPr>
        <w:ind w:left="700" w:right="79" w:hanging="326"/>
        <w:spacing w:after="0" w:line="200" w:lineRule="auto"/>
        <w:tabs>
          <w:tab w:leader="none" w:pos="700" w:val="left"/>
        </w:tabs>
        <w:numPr>
          <w:ilvl w:val="0"/>
          <w:numId w:val="14"/>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Other general and administrative expenses include professional fees, accounting services, rent, and other overhead and administrative expenses.</w:t>
      </w:r>
    </w:p>
    <w:p>
      <w:pPr>
        <w:spacing w:after="0" w:line="19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Assets provided to the CODM are consistent with those reported on the condensed consolidated balance sheets. The Company does not have intra-entity sales or transfers.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15. Subsequent Event</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May 1, 2026, the Company filed a shelf registration statement on Form S-3 (the Registration Statement) which permits the offering, issuance and sale of common stock, preferred stock, debt securities and warrants having an aggregate offering price of up to $200.0 million in one or more offerings and in any combination of the foregoing. The Registration Statement contains two prospectuses, a base prospectus and an at-the-market offering prospectus that covers the offering, issuance and sale of up to $12.5 million of common stock pursuant to a Capital on Demand Sales Agreement (the Sales Agreement), dated as of May 1, 2026 by and between the Company and JonesTrading Institutional Services LLC acting as sales agent (the ATM Facility). The Registration Statement will not be available for sales of any securities until it is declared effective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our unaudited condensed consolidated financial statements and the related notes included elsewhere in this Quarterly Report. In addition to historical financial information, the following discussion contains forward-looking statements based upon current expectations that involve risks and uncertainties. Our actual results could differ materially from those anticipated in these forward-looking statements as a result of various factors. Factors that could cause or contribute to these differences include, but are not limited to, those discussed below and elsewhere in this Quarterly Report.</w:t>
      </w:r>
    </w:p>
    <w:p>
      <w:pPr>
        <w:spacing w:after="0" w:line="168" w:lineRule="exact"/>
        <w:rPr>
          <w:sz w:val="20"/>
          <w:szCs w:val="20"/>
          <w:color w:val="auto"/>
        </w:rPr>
      </w:pPr>
    </w:p>
    <w:p>
      <w:pPr>
        <w:ind w:left="60" w:right="23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 December 17, 2024, the Delaware corporation formerly known as Tvardi Therapeutics, Inc. (Legacy Tvardi) entered into an agreement and plan of merger and reorganization (the Merger Agreement) with Cara Therapeutics, Inc. (Cara), and CT Convergence Merger Sub, Inc., a wholly-owned subsidiary of Cara (Merger Sub), pursuant to which Merger Sub merged with and into Legacy Tvardi, with Legacy Tvardi surviving the Merger as a wholly-owned subsidiary of Cara (such transaction, the Merger). Upon the closing of the Merger on April 15, 2025, Cara changed its corporate name to Tvardi Therapeutics, Inc. and Legacy Tvardi’s </w:t>
      </w:r>
      <w:r>
        <w:rPr>
          <w:rFonts w:ascii="Times New Roman" w:cs="Times New Roman" w:eastAsia="Times New Roman" w:hAnsi="Times New Roman"/>
          <w:sz w:val="18"/>
          <w:szCs w:val="18"/>
          <w:i w:val="1"/>
          <w:iCs w:val="1"/>
          <w:color w:val="231F20"/>
        </w:rPr>
        <w:t>business continued as the business of the Company.</w:t>
      </w:r>
    </w:p>
    <w:p>
      <w:pPr>
        <w:spacing w:after="0" w:line="18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“Tvardi,” the “Company,” “we,” “us,” “our” and other similar terms refer to the business and operations of Legacy Tvardi prior to the Merger and to Tvardi Therapeutics, Inc. and its consolidated subsidiaries following the Merger.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novel, oral, small molecule therapies targeting Signal Transducer and Activator of Transcription 3 (STAT3) to treat inflammatory and proliferative diseases with significant unmet need. Based upon our founders' seminal work and deep understanding of STAT3, we have designed an innovative approach to directly inhibit STAT3, a highly validated yet historically undruggable target. Leveraging this expertise, we are developing a pipeline of STAT3 inhibitors with a differentiated mechanism of action and convenient oral dosing.</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pipeline includes two oral, small molecule STAT3 inhibitors: TTI-101 and TTI-109. TTI-101 is our first-generation direct STAT3 inhibitor, currently in Phase 1b/2 clinical development in hepatocellular carcinoma (HCC). TTI-109 is a phosphate prodrug of TTI-101 that is mechanistically identical to its parent molecule but is designed to enhance systemic drug delivery and improve tolerability. We submitted an IND application for TTI-109 in June 2025. After FDA acceptance of the IND, we have initiated a Phase 1 trial of TTI-109 in healthy volunteers to evaluate safety, tolerability, and pharmacokinetics, as well as bioequivalence to TTI-101. </w:t>
      </w:r>
      <w:r>
        <w:rPr>
          <w:rFonts w:ascii="Times New Roman" w:cs="Times New Roman" w:eastAsia="Times New Roman" w:hAnsi="Times New Roman"/>
          <w:sz w:val="18"/>
          <w:szCs w:val="18"/>
          <w:color w:val="231F20"/>
        </w:rPr>
        <w:t>We expect to report topline data from this trial in June of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following which we intend to announce the clinical indication in which we plan to advance TTI-109. </w:t>
      </w:r>
      <w:r>
        <w:rPr>
          <w:rFonts w:ascii="Times New Roman" w:cs="Times New Roman" w:eastAsia="Times New Roman" w:hAnsi="Times New Roman"/>
          <w:sz w:val="18"/>
          <w:szCs w:val="18"/>
          <w:color w:val="000000"/>
        </w:rPr>
        <w:t>Subsequently,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second half of 2026, we expect to report topline data of TTI-101 across the three cohorts of the </w:t>
      </w:r>
      <w:r>
        <w:rPr>
          <w:rFonts w:ascii="Times New Roman" w:cs="Times New Roman" w:eastAsia="Times New Roman" w:hAnsi="Times New Roman"/>
          <w:sz w:val="18"/>
          <w:szCs w:val="18"/>
          <w:color w:val="231F20"/>
        </w:rPr>
        <w:t>REVERT LIVER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CANCER Phase 1b/2 clinical trial.</w:t>
      </w:r>
    </w:p>
    <w:p>
      <w:pPr>
        <w:spacing w:after="0" w:line="18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October 2025, we reported preliminary data from our Phase 2 clinical trial of TTI-101 in IPF and concluded that the study did not meet its goals. Subsequently, we conducted additional analyses of a subset of patients who received study drug for 12 weeks. Based on these analyses, which excluded certain patients due to dosing, pharmacokinetic, or clinical factors, treatment with TTI-101 demonstrated greater reductions in certain exploratory measures, including fibrosis and inflammatory markers, compared to placebo – directly recapitulating findings from multiple preclinical models of fibrotic disease and providing human clinical proof of concept for the STAT3 inhibition mechanism. We continue to evaluate these results to inform potential future development decisions.</w:t>
      </w:r>
    </w:p>
    <w:p>
      <w:pPr>
        <w:spacing w:after="0" w:line="18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Since commencing operations in 2017, we have devoted substantially all of our efforts and financial resources to developing our product candidates, organizing and staffing our company, business planning, raising capital, establishing our intellectual property portfolio and performing research and development of our product candidates, signaling and biology, medicinal chemistry and clinical insights to discover and develop novel therapies for the treatment of inflammatory and proliferative diseases driven by dysregulated STAT3 signaling. Through the date of this filing, we have historically financed our operations principally through the issuance and sale of our preferred stock and convertible debt. We received $28.3 million from the sale and issuance of our convertible promissory notes (Convertible Notes)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December 2024, which were converted into common stock in April 2025, and $83.4 million from the issuance and sale of our preferred stock and historical convertible debt, which was converted into preferred stock, in 2018 and 2021. We acquired approximately $23.9 million of net assets in connection with our Merger with Cara in April 2025.</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2026, we had $19.9 million in cash and cash equivalents and $5.1 million in short-term investments. We have incurred net losses since inception. As of March 31, 2026 and December 31, 2025, our accumulated deficit was $117.3 million and $110.5 million, respectively. For the three months ended March 31, 2026 and 2025, we reported net losses of $6.8 million and $9.6 million, respectively. Our net loss may fluctuate significantly from quarter-to-quarter and year-to-year, depending on the timing of our clinical development activities and other research and development activities. We expect to continue to incur significant operating losses for the foreseeable future and may never become profitable. Losses are expected to continue as we continue to invest in research and development activities. We considered both quantitative and qualitative factors that are known or reasonably knowable as of the date that these condensed consolidated financial statements are issued and concluded that there are conditions present in the aggregate that raise substantial doubt about our ability to continue as a going concern. We have based this estimate on assumptions that may prove to be wrong, and we could exhaust our capital resources sooner than we expect. See the subsection titled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for further discussion.</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will require additional funding in order to finance operations and complete our ongoing and planned clinical trials.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Access to such funding on acceptable terms cannot be assured.</w:t>
      </w:r>
    </w:p>
    <w:p>
      <w:pPr>
        <w:spacing w:after="0" w:line="207"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We expect that our expense and capital requirements will increase substantially in connection with our ongoing activities and for the foreseeable future, particularly if we, among other things:</w:t>
      </w:r>
    </w:p>
    <w:p>
      <w:pPr>
        <w:spacing w:after="0" w:line="162" w:lineRule="exact"/>
        <w:rPr>
          <w:sz w:val="20"/>
          <w:szCs w:val="20"/>
          <w:color w:val="auto"/>
        </w:rPr>
      </w:pPr>
    </w:p>
    <w:p>
      <w:pPr>
        <w:ind w:left="720" w:right="45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TTI-101, TTI-109 and our other product candidates through clinical development and, if successful, later-stage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our preclinical development programs into clinical development;</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experience delays or interruptions to preclinical studies, clinical trials, receipt of services from our third-party service providers on whom we rely, or our supply chain;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seek and maintain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commercialize TTI-101, TTI-109, our other product candidates and any future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hire additional clinical development, quality control, scientific and management personnel;</w:t>
      </w:r>
    </w:p>
    <w:p>
      <w:pPr>
        <w:spacing w:after="0" w:line="225"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expand our operational, financial and management systems and increase personnel, including personnel to support our clinical development and manufacturing efforts and operations as a public company;</w:t>
      </w:r>
    </w:p>
    <w:p>
      <w:pPr>
        <w:spacing w:after="0" w:line="161" w:lineRule="exact"/>
        <w:rPr>
          <w:rFonts w:ascii="Times New Roman" w:cs="Times New Roman" w:eastAsia="Times New Roman" w:hAnsi="Times New Roman"/>
          <w:sz w:val="18"/>
          <w:szCs w:val="18"/>
          <w:color w:val="auto"/>
        </w:rPr>
      </w:pPr>
    </w:p>
    <w:p>
      <w:pPr>
        <w:ind w:left="720" w:right="319" w:hanging="319"/>
        <w:spacing w:after="0" w:line="312" w:lineRule="auto"/>
        <w:tabs>
          <w:tab w:leader="none" w:pos="7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establish a sales, marketing, medical affairs and distribution infrastructure to commercialize any products for which we may obtain marketing approval and intend to commercialize on our own or jointly with third parties;</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invest in or in-license other technologies or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continue to build out our organization to engage in such activities; and</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incur additional legal, accounting, investor relations and other general and administrative expenses associated with operating as a public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Given our stage of development, to date we have not had any products approved for sale and have not generated any revenue. We do not expect to generate any revenues from product sales unless and until we successfully complete development and obtain regulatory approval for one or more of our product candidates, which may not be for several years, if ever. If we obtain regulatory approval for any of our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or other restrictions limiting our ability to engage in specific actions, such as incurring additional debt, making capital expenditures or declaring dividends.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including our ongoing and planned clinical trials, to reduce costs.</w:t>
      </w:r>
    </w:p>
    <w:p>
      <w:pPr>
        <w:spacing w:after="0" w:line="195"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subject to risks and uncertainties as of result of global business, political and macroeconomic events and conditions, including increasing financial market volatility and uncertainty, inflation, interest rate fluctuations, uncertainty with respect to the federal budget and debt ceiling, as well as the potential for future potential government shutdowns related thereto, potential instability in the global banking system, cybersecurity events, the impact of war or military conflict, including regional conflicts around the world, and public health pandemics. Our business, financial condition and results of operations could be materially and adversely affected by further negative impact on the global economy and capital markets resulting from these global economic conditions, particularly if such conditions are prolonged or worsen.</w:t>
      </w:r>
    </w:p>
    <w:p>
      <w:pPr>
        <w:spacing w:after="0" w:line="19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other geopolitical tensions, record inflation, tariffs or otherwise, are impossible to predict, but could be substantial. Any such disruptions may also magnify the impact of other risks described in this Quarterly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July 2012 and June 2015, Stem Med Limited Partnership (StemMed) entered into license agreements with Baylor College of Medicine (BCM) referred to herein as the BCM First Agreement and BCM Second Agreement, respectively. StemMed assigned the BCM First Agreement and BCM Second Agreement to us in connection with the transfer of all or substantially all of the assets and businesses to which BCM First Agreement and BCM Second Agreement relate in January 2018 and February 2018, respectively. Under both the BCM First Agreement and BCM Second Agreement, we obtained exclusive, worldwide, sublicense licenses under certain of BCM’s patents and patent applications and additionally in the case of the BCM First Agreement, certain BCM technology. Under these licenses, we are permitted to make, have made, use, market, sell, offer to sell, lease and import products, processes or services that incorporate, utilize or are made with the use such patents and patent applications or technologies (respectively, the BCM1 Licensed Products and BCM2 Licensed Products) in all fields of use. The licenses, patents and patent applications and technologies applicable to the BCM First Agreement and BCM Second Agreement are further discussed below.</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First License Agreement with Baylor College of Medicine</w:t>
      </w:r>
    </w:p>
    <w:p>
      <w:pPr>
        <w:spacing w:after="0" w:line="22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BCM First Agreement, we obtained an exclusive, worldwide, sublicensable license under BCM’s rights to certain patents and patent applications related to STAT3 inhibitors in oncology and certain non-oncology indications, which we refer to as the BCM Patent Rights, together with certain cell lines, biological materials, compounds, know-how and technologies, which we collectively refer to as the BCM Technology, to make, have made, use, market, sell, offer to sell, lease and import BCM1 Licensed Products, in all fields of use.</w:t>
      </w:r>
    </w:p>
    <w:p>
      <w:pPr>
        <w:spacing w:after="0" w:line="183" w:lineRule="exact"/>
        <w:rPr>
          <w:sz w:val="20"/>
          <w:szCs w:val="20"/>
          <w:color w:val="auto"/>
        </w:rPr>
      </w:pPr>
    </w:p>
    <w:p>
      <w:pPr>
        <w:ind w:left="60" w:right="259" w:firstLine="324"/>
        <w:spacing w:after="0" w:line="312" w:lineRule="auto"/>
        <w:rPr>
          <w:sz w:val="20"/>
          <w:szCs w:val="20"/>
          <w:color w:val="auto"/>
        </w:rPr>
      </w:pPr>
      <w:r>
        <w:rPr>
          <w:rFonts w:ascii="Times New Roman" w:cs="Times New Roman" w:eastAsia="Times New Roman" w:hAnsi="Times New Roman"/>
          <w:sz w:val="17"/>
          <w:szCs w:val="17"/>
          <w:color w:val="auto"/>
        </w:rPr>
        <w:t>Pursuant to the terms of the BCM First Agreement, StemMed owed an initial license fee of $75,000 as consideration for the license rights. Upon the assignment of the agreement to us, we became responsible for the payment of annual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maintenance fees on the anniversary of the agreement, which range from $30,000 to $50,000. We are also required to pay BCM royalties in the amount of a low single-digit percent of net sales of BCM1 Licensed Products during the term, which expires, on a country-by-country basis, on the later of (i) the date of expiration of the last-to-expire of the BCM Patent Rights, or, (ii) if no BCM Patent Rights issued in such country, the tenth anniversary of the first commercial sale of the BCM1 Licensed Product in such country. We currently expect the BCM Patent Rights to expire April 18, 2039. Upon the initiation of the Phase 2 clinical trials for two BCM1 Licensed Products, we paid BCM development milestone payments of $250,000 in the aggregate. Upon the achievement of additional specified development and regulatory milestones, we are required to pay BCM one-time milestone payments of up to $2,200,000 in the aggregate for the first BCM1 Licensed Product in an oncology indication and for the first BCM1 Licensed Product in a non-oncology indication to achieve such milestones. Further, in connection with the initiation of the Phase 3 clinical trial, we would expect to incur approximately $400,000 of oncology-related costs and approximately $300,000 of non-oncology-related costs. We are additionally required to pay BCM a tiered low double-digit percentage of sublicensing revenue obtained in connection with any sublicense granted by us under the BCM Patent Rights or BCM Technology.</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may terminate the BCM First Agreement at its convenience following a specified notice period upon advance written notice to BCM. The BCM First Agreement may also be terminated by BCM for our default or failure to perform any of the terms of the BCM First Agreement, following a specified notice and cure period. Additionally, BCM may terminate the BCM First Agreement if we undergo specified bankruptcy or insolvency events, following the expiration of a specified period. Upon expiration of the term of the BCM First Agreement in a given country, the license grant from BCM to us will be fully-paid and perpetual in such country.</w:t>
      </w:r>
    </w:p>
    <w:p>
      <w:pPr>
        <w:spacing w:after="0" w:line="187" w:lineRule="exact"/>
        <w:rPr>
          <w:sz w:val="20"/>
          <w:szCs w:val="20"/>
          <w:color w:val="auto"/>
        </w:rPr>
      </w:pPr>
    </w:p>
    <w:p>
      <w:pPr>
        <w:jc w:val="both"/>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BCM First Agreement was amended in April 2015 to update the schedule of BCM Patent Rights and description of BCM Technology covered by the license for immaterial consideration. The BCM First Agreement was further amended in August 2019 to amend our diligence and insurance obligations as well as to further update the schedule of BCM Patent Rights.</w:t>
      </w:r>
    </w:p>
    <w:p>
      <w:pPr>
        <w:spacing w:after="0" w:line="18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Under the BCM First Agreement, we accrued $12,500 in annual maintenance fees as of March 31, 2026. As of December 31, 2025, the full amount of $50,000 in annual maintenance fees had already been paid and thus no accrual was needed. No payments for maintenance or milestone fees were made during the three months ended March 31, 2026 and 2025. No royalty fees have been incurred to date. All related license costs are expensed as incurred within research and development on the condensed consolidated statements of operations and comprehensive loss.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License Agreement with Baylor College of Medicine</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Under the BCM Second Agreement, we obtained an exclusive, worldwide, sublicensable license under certain patents and patent applications co-owned by BCM and the National Institutes of Health (NIH), related to methods and compositions for the use of STAT3 inhibitors in certain conditions like anaphylaxis, which rights we refer to as the Licensed Patent Rights, to make, have made, use, market, sell, offer to sell, lease and import the BCM2 Licensed Products, in all fields of use.</w:t>
      </w:r>
    </w:p>
    <w:p>
      <w:pPr>
        <w:spacing w:after="0" w:line="183"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Pursuant to the terms of the BCM Second Agreement, StemMed owed an initial license fee of $5,000 in consideration for the license rights. Upon the assignment of the agreement to us, we became responsible for the payment of maintenance fees on the anniversary of the agreement, which range from $30,000 to $50,000. We are also required to pay BCM royalties in the amount of a low single-digit percent of net sales of BCM2 Licensed Products during the term, which expires, on a country-by-country basis, on the later (i) of the date of expiration of the last to expire of the Licensed Patent Rights, or,</w:t>
      </w:r>
    </w:p>
    <w:p>
      <w:pPr>
        <w:spacing w:after="0" w:line="3" w:lineRule="exact"/>
        <w:rPr>
          <w:sz w:val="20"/>
          <w:szCs w:val="20"/>
          <w:color w:val="auto"/>
        </w:rPr>
      </w:pPr>
    </w:p>
    <w:p>
      <w:pPr>
        <w:ind w:left="60" w:right="179" w:hanging="10"/>
        <w:spacing w:after="0" w:line="252"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Licensed Patent Rights issued in such country, the tenth anniversary of the first commercial sale of the BCM2 Licensed Product in such country. We currently expect the Licensed Patent Rights to expire July 18, 2034. Upon the achievement of additional specified development and regulatory milestones, we are required to pay BCM one-time milestone payments of up to $1,225,000 in the aggregate for the first BCM2 Licensed Product to achieve such milestones. Further, in connection with the initiation of the Phase 3 clinical trial, we would expect to incur approximately $300,000 in costs. We are additionally required to pay BCM a tiered low double-digit percentage of sublicensing revenue obtained in connection with any sublicense granted by us under the Licensed Patent Rights.</w:t>
      </w:r>
    </w:p>
    <w:p>
      <w:pPr>
        <w:spacing w:after="0" w:line="188"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may terminate the BCM Second Agreement at our convenience following a specified notice period upon advance written notice to BCM. The BCM Second Agreement may also be terminated by BCM for our default or failure to perform any of terms of the BCM Second Agreement, following a specified notice and cure period. Additionally,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BCM may terminate the BCM Second Agreement if we undergo specified bankruptcy or insolvency events, following the expiration of a specified period. The NIH may terminate its license to BCM if we fail to fulfill certain obligations. Upon expiration of the term of the BCM Second Agreement in a given country, the license grant from BCM to us will be fully paid and perpetual in such country.</w:t>
      </w:r>
    </w:p>
    <w:p>
      <w:pPr>
        <w:spacing w:after="0" w:line="18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BCM Second Agreement was amended in June 2019 to amend our diligence and insurance obligations. We entered into a second amendment in April 2023 to further amend our diligence obligations and to terminate the obligation to pay annual maintenance fees until the first anniversary of the achievement of certain patent milestones and annually thereafter.</w:t>
      </w:r>
    </w:p>
    <w:p>
      <w:pPr>
        <w:spacing w:after="0" w:line="180"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Under the BCM Second Agreement, no payments were made or incurred during the three months ended March 31, 2026 and 2025. No royalty fees have been incurred to date.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we do not expect to generate any revenue from the sale of products in the near future, if at all. If our development efforts for TTI-101, TTI-109 or additional product candidates that we may develop in the future are successful and result in marketing approval, or if we enter into collaboration or license agreements with third parties, we may generate revenue in the future from a combination of product sales or payments from such collaboration or license agreements</w:t>
      </w:r>
      <w:r>
        <w:rPr>
          <w:rFonts w:ascii="Times New Roman" w:cs="Times New Roman" w:eastAsia="Times New Roman" w:hAnsi="Times New Roman"/>
          <w:sz w:val="18"/>
          <w:szCs w:val="18"/>
          <w:b w:val="1"/>
          <w:bCs w:val="1"/>
          <w:i w:val="1"/>
          <w:iCs w:val="1"/>
          <w:color w:val="auto"/>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0" w:right="1139" w:firstLine="324"/>
        <w:spacing w:after="0" w:line="282" w:lineRule="auto"/>
        <w:rPr>
          <w:sz w:val="20"/>
          <w:szCs w:val="20"/>
          <w:color w:val="auto"/>
        </w:rPr>
      </w:pPr>
      <w:r>
        <w:rPr>
          <w:rFonts w:ascii="Times New Roman" w:cs="Times New Roman" w:eastAsia="Times New Roman" w:hAnsi="Times New Roman"/>
          <w:sz w:val="18"/>
          <w:szCs w:val="18"/>
          <w:color w:val="auto"/>
        </w:rPr>
        <w:t>Our operating expenses have consisted primarily of research and development expenses and general and administrative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direct and indirect costs incurred in performing clinical and preclinical development activities.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Direct costs include:</w:t>
      </w:r>
    </w:p>
    <w:p>
      <w:pPr>
        <w:spacing w:after="0" w:line="225" w:lineRule="exact"/>
        <w:rPr>
          <w:sz w:val="20"/>
          <w:szCs w:val="20"/>
          <w:color w:val="auto"/>
        </w:rPr>
      </w:pPr>
    </w:p>
    <w:p>
      <w:pPr>
        <w:ind w:left="720" w:right="1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expenses incurred under agreements with consultants and third-party contract research organizations (CROs) that conduct research and development activities on our behalf;</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costs related to production of preclinical and clinical materials, including fees paid to contract manufacturers; and</w:t>
      </w:r>
    </w:p>
    <w:p>
      <w:pPr>
        <w:spacing w:after="0" w:line="236"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costs associated with license agreements.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Indirect costs include:</w:t>
      </w:r>
    </w:p>
    <w:p>
      <w:pPr>
        <w:spacing w:after="0" w:line="225" w:lineRule="exact"/>
        <w:rPr>
          <w:sz w:val="20"/>
          <w:szCs w:val="20"/>
          <w:color w:val="auto"/>
        </w:rPr>
      </w:pPr>
    </w:p>
    <w:p>
      <w:pPr>
        <w:ind w:left="720" w:right="3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personnel costs, which includes salaries, benefits, stock-based compensation expense and travel expenses,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facilities, amortization and other expenses, which include direct and allocated expenses for rent and maintenance of facilities, insurance and other supplies;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costs related to compliance with quality and regulatory requirements.</w:t>
      </w:r>
    </w:p>
    <w:p>
      <w:pPr>
        <w:spacing w:after="0" w:line="225"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Pursuant to U.S. GAAP and our internal policies, including our clinical trial accrual policy, we expense all research and development costs in the periods in which they are incurred, including the costs of treatment center start-up</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activities, patient enrollment, and study reporting. Costs for certain other research and development activities are recognized based on an evaluation of the progress to completion of specific tasks using information and data provided to us by our vendors and third-party service providers. Payments for these activities are based on the terms of the individual agreements, which may differ from the pattern of costs incurred, and are reflected in our condensed consolidated financial statements as prepaid or accrued research and development expenses.</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clinical spending during the three months ended March 31, 2026 was on TTI-109, which included costs related to the second arm of the healthy volunteer study, CMC costs related to clinical supply, and preclinical studies. Costs for TTI-101 were also incurred for the HCC trial during the three months ended March 31, 2026. The majority of our clinical spending during the three months ended March 31, 2025 was on TTI-101, for which certain direct research and development costs are tracked by clinical trial. Costs incurred for TTI-109 during the three months ended March 31, 2025 were related to CMC costs.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the development of TTI-101 and TTI-109, support our ongoing preclinical programs and discover any new product candidates, as well as increase our headcount. In particular, clinical development, as opposed to preclinical development, generally has higher development costs, primarily due to the increased size and duration of later-stage clinical trials. Moreover, the costs associated with our clinical activities, which are managed by our CROs, and Contract Development and Manufacturing Organizations (CDMOs), to manufacture materials for our product candidates and future commercial products, are much more costly as compared to early-stage preclinical development. We cannot determine with certainty the timing of initiation, the duration or the completion costs of current or future preclinical studies and clinical trials of our current and future candidates due to the inherently unpredictable nature of preclinical and clinical development. Preclinical and clinical development timelines, the probability of success and development costs can differ materially from expectations. We anticipate that we will make determinations as to which therapeutic candidates to pursue and how much funding to direct to each therapeutic candidate on an ongoing basis in response to the results of ongoing and future preclinical studies and clinical trials, regulatory developments and our ongoing assessments as to each therapeutic candidate’s commercial potential. We will need substantial additional capital in the future to support these efforts. In addition, we cannot forecast which therapeutic candidates may be subject to future collaborations, when such arrangements will be secured, if at all, and to what degree such arrangements would affect our development plans and capital requirements.</w:t>
      </w:r>
    </w:p>
    <w:p>
      <w:pPr>
        <w:spacing w:after="0" w:line="193"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w:t>
      </w:r>
    </w:p>
    <w:p>
      <w:pPr>
        <w:spacing w:after="0" w:line="180" w:lineRule="exact"/>
        <w:rPr>
          <w:sz w:val="20"/>
          <w:szCs w:val="20"/>
          <w:color w:val="auto"/>
        </w:rPr>
      </w:pPr>
    </w:p>
    <w:p>
      <w:pPr>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7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undesirable product-related side effects experienced by subjects in our clinical trials or by individuals using drugs or therapeutics similar to our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poor efficacy of our product candidates during clinical trials;</w:t>
      </w:r>
    </w:p>
    <w:p>
      <w:pPr>
        <w:spacing w:after="0" w:line="225" w:lineRule="exact"/>
        <w:rPr>
          <w:rFonts w:ascii="Times New Roman" w:cs="Times New Roman" w:eastAsia="Times New Roman" w:hAnsi="Times New Roman"/>
          <w:sz w:val="18"/>
          <w:szCs w:val="18"/>
          <w:color w:val="auto"/>
        </w:rPr>
      </w:pPr>
    </w:p>
    <w:p>
      <w:pPr>
        <w:jc w:val="both"/>
        <w:ind w:left="720" w:right="41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submitting IND applications or comparable foreign applications or delays or failure in obtaining the necessary approvals from the FDA or other comparable foreign regulatory authorities to commence a clinical trial, or a suspension or termination of a clinical trial once commenced;</w:t>
      </w:r>
    </w:p>
    <w:p>
      <w:pPr>
        <w:spacing w:after="0" w:line="17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conditions imposed by the FDA or comparable foreign regulatory authorities regarding the scope or design of our clinical trials;</w:t>
      </w:r>
    </w:p>
    <w:p>
      <w:pPr>
        <w:spacing w:after="0" w:line="161"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enrolling subjects in clinical trials, including due to operational challenges or competition with other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high drop-out rates or screening failures of subjects from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inadequate supply or quality of product candidates or other materials necessary for the conduct of our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greater than anticipated clinical trial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compete with other therapies;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secure or maintain orphan designation in some jurisdictions;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unfavorable FDA or other regulatory agency inspection and review of a clinical trial site;</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of our third-party contractors or investigators to comply with regulatory requirements or otherwise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720" w:right="519" w:hanging="319"/>
        <w:spacing w:after="0" w:line="312" w:lineRule="auto"/>
        <w:tabs>
          <w:tab w:leader="none" w:pos="7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delays and changes in regulatory requirements, policy and guidelines, including the imposition of additional regulatory oversight around clinical testing generally or with respect to our technology in particular; or</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varying interpretations of data by the FDA and other comparable foreign regulatory authorities.</w:t>
      </w:r>
    </w:p>
    <w:p>
      <w:pPr>
        <w:spacing w:after="0" w:line="22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or potential future product candidates could mean a significant change in the costs and timing associated with the development of that product candidate or potential future product candidate. For example, if the FDA or another regulatory authority were to require us to conduct clinical trials beyond those that we anticipate would be required for the completion of clinical development of a product candidate or potential future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obtain regulatory approval for any of our product candidates, and, even if we do, drug commercialization takes several years and millions of dollars in development costs.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 costs, including salaries, benefits and stock-based compensation, for personnel in our executive, finance, corporate and business development and administrative functions. G&amp;A expenses also include outside professional services, such as legal, audit and accounting services, insurance costs and facility-related expenses, which include direct depreciation costs and allocated expenses for rent and maintenance of facilities and other operating costs.</w:t>
      </w:r>
    </w:p>
    <w:p>
      <w:pPr>
        <w:spacing w:after="0" w:line="18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expect our G&amp;A expenses to increase over the next several years as we continue our research and development activities, prepare for potential commercialization of our current and future product candidates, as well as expand our operations and continue operating as a public company following the Merger. These increases will likely include increases related to the hiring of additional personnel and legal, regulatory and other fees and services associated with maintaining compliance with listing rules and Securities and Exchange Commission (SEC) requirements, director and officer insurance premiums and investor relations costs associated with being a public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March 31, 2026 and 2025 consisted of interest earned on our cash and cash equivalents as well as interest earned on short-term investments and the accretion of the discount of our short-term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Other expenses consist of the net changes in fair value of our Convertible Notes, for which we elected the fair value option, as well as interest accrued on the Convertible Notes. The Convertible Notes converted into our common stock upon the closing of the Merger in April 2025. As a result, there were no Convertible Notes outstanding during the three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59"/>
        <w:spacing w:after="0" w:line="315" w:lineRule="auto"/>
        <w:rPr>
          <w:sz w:val="20"/>
          <w:szCs w:val="20"/>
          <w:color w:val="auto"/>
        </w:rPr>
      </w:pPr>
      <w:r>
        <w:rPr>
          <w:rFonts w:ascii="Times New Roman" w:cs="Times New Roman" w:eastAsia="Times New Roman" w:hAnsi="Times New Roman"/>
          <w:sz w:val="17"/>
          <w:szCs w:val="17"/>
          <w:color w:val="auto"/>
        </w:rPr>
        <w:t xml:space="preserve">months ended March 31, 2026. See Note 3,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included in the Notes to Condensed Consolidated Financial Statements, included elsewhere within this Quarterly Report for further discussion of our Convertible Notes.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there was no current or deferred income tax expense or benefit due to our current year losses and full valuation allowance. As of March 31, 2026, we evaluated all available evidence and concluded that a valuation allowance was still required against our net deferred tax assets because it is more likely than not they will not be realized in the foreseeable future. As a result, our effective tax rate for each of the periods presented differs from the U.S. federal statutory rate primarily due to recurring operating losses and the full valuation allowance against deferred tax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2026 and 2025 (in thousands, except percentages):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860" w:type="dxa"/>
            <w:vAlign w:val="bottom"/>
            <w:gridSpan w:val="4"/>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comprised of the following (in thousands, except percentages):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4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8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TTI-101: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lef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HCC</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Pre-clinical, CMC, and other (unallocated)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TTI-109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710.6 %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Personnel costs (including stock-based compensation)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Consultant fees and other costs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0" w:type="dxa"/>
            <w:vAlign w:val="bottom"/>
          </w:tcPr>
          <w:p>
            <w:pPr>
              <w:spacing w:after="0"/>
              <w:rPr>
                <w:sz w:val="18"/>
                <w:szCs w:val="18"/>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$4.9 million for the three months ended March 31, 2026, compared to $3.1 million for the three months ended March 31, 2025. The increase of $1.8 million was primarily driven by an increase of $2.5 million in costs related to our product candidate TTI-109, which included costs associated with the second arm of the healthy volunteer study, CMC costs related to clinical supply, and preclinical studies, partially offset by an overall decrease in costs associated with our product candidate TTI-101, which included a decrease of $1.0 million related to our IPF trial partially offset by an increase of $0.3 million related to our HCC trial. We incurred costs related to our IPF trial during the three months ended March 31, 2025 as we were still enrolling patients in this trial. We did 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incur any costs during the three months ended March 31, 2026 given all patients had been enrolled prior to the current period; however, final costs are expected to be incurred later in fiscal 2026. The increase in costs related to our HCC trial was primarily due to changes in trial costs.</w:t>
      </w:r>
    </w:p>
    <w:p>
      <w:pPr>
        <w:spacing w:after="0" w:line="176" w:lineRule="exact"/>
        <w:rPr>
          <w:sz w:val="20"/>
          <w:szCs w:val="20"/>
          <w:color w:val="auto"/>
        </w:rPr>
      </w:pPr>
    </w:p>
    <w:p>
      <w:pPr>
        <w:ind w:left="60" w:right="539" w:firstLine="324"/>
        <w:spacing w:after="0" w:line="312" w:lineRule="auto"/>
        <w:rPr>
          <w:sz w:val="20"/>
          <w:szCs w:val="20"/>
          <w:color w:val="auto"/>
        </w:rPr>
      </w:pPr>
      <w:r>
        <w:rPr>
          <w:rFonts w:ascii="Times New Roman" w:cs="Times New Roman" w:eastAsia="Times New Roman" w:hAnsi="Times New Roman"/>
          <w:sz w:val="17"/>
          <w:szCs w:val="17"/>
          <w:color w:val="auto"/>
        </w:rPr>
        <w:t>The increase in personnel costs of $0.1 million was primarily related to an increase in stock-based compensation expense related to additional stock options granted after the first quarter of 2025 through the first quarter of 2026.</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G&amp;A expenses for the three months ended March 31, 2026 and 2025 were comprised of the following (in thousands, except percentages):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costs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G&amp;A expenses were $2.1 million for the three months ended March 31, 2026, compared to $1.2 million for the three months ended March 31, 2025. The increase of approximately $0.9 million was primarily driven by increases in personnel costs of $0.3 million and professional fees of $0.3 million. The increase in personnel costs was primarily attributable to increases in stock-based compensation related to additional stock options granted after the first quarter of 2025 through the first quarter of 2026 and additional headcount. The increase in professional fees was primarily attributable to increased legal and investor relations fees incurred as a result of the Merger and subsequent filings as a public company. The remaining increase was attributable to increases in insurance and other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income was $0.2 million for the three months ended March 31, 2026, compared to $0.3 million for the three months ended March 31, 2025. The $0.2 million of interest income for the three months ended March 31, 2026 includes less than $0.2 million of interest earned on our cash and cash equivalents and less than $0.1 million of interest from our short-term investments, as well as the accretion of the discount on our short-term investments. The $0.3 million of interest income for the three months ended March 31, 2025 included less than $0.2 million of interest earned on our cash and cash equivalents and $0.1 million of interest from our short-term investments, as well as the accretion of the discount on our short-term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there was no other expense recorded within the condensed consolidated statements of operations and comprehensive loss, as there were no financial instruments requiring valuation or interest expense for this period. The Convertible Notes were fully converted during the second quarter of 2025, and there was no remeasurement gain or loss recorded for the three months ended March 31, 2026. For the three months ended March 31, 2025, other expense of $5.5 million was primarily attributable to a $4.9 million remeasurement of our Convertible Notes, for which we elected the fair value option prior to the Convertible Notes converting to common stock in April 2025 due to the Merger, as well as $0.6 million in interest accrued on the Convertible Notes.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Since inception, we have not generated any revenue from product sales or any other sources and have incurred significant operating losses. We have not yet commercialized any products and do not expect to generate revenue from sales of any product candidates for several years, if ever. To date, we have financed our operations primarily through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hanging="10"/>
        <w:spacing w:after="0" w:line="254"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and sale of our Convertible Notes in December 2024 for gross proceeds of $28.3 million (ii) the issuance and sale of preferred stock and historical convertible debt (which converted into preferred stock in 2018 and 2021) for total gross proceeds of $83.4 million, and (iii) our Merger with Cara in which we acquired approximately $23.9 million of net assets in April 2025. To date, we have devoted substantially all of our efforts and financial resources to developing our product candidates, organizing and staffing our company, business planning, raising capital, establishing our intellectual property portfolio and performing research and development of our product candidates, signaling and biology, medicinal chemistry and clinical insights to discover and develop novel therapies for the treatment of inflammatory and proliferative diseases driven by dysregulated STAT3 signaling. As of March 31, 2026, we had $19.9 million in cash and cash equivalents and $5.1 million in short-term investments.</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1, 2026, we filed a shelf registration statement on Form S-3 (the Registration Statement) which permits the offering, issuance and sale of common stock, preferred stock, debt securities and warrants having an aggregate offering price of up to $200.0 million in one or more offerings and in any combination of the foregoing. The Registration Statement contains two prospectuses, a base prospectus and an at-the-market offering prospectus that covers the offering, issuance and sale of up to $12.5 million of common stock pursuant to a Capital on Demand Sales Agreement (the Sales Agreement), dated as of May 1, 2026 by and between us and JonesTrading Institutional Services LLC acting as sales agent (the ATM Facility). The Registration Statement will not be available for sales of any securities until it is declared effective by the SEC.</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Our primary uses of cash are to fund our operations, which consist primarily of research and development costs related to the development of our product candidates, and, to a lesser extent, G&amp;A costs. We have incurred significant operating losses since our inception, and as of March 31, 2026, had an accumulated deficit of $117.3 million. Management has determined that its present capital resources as of March 31, 2026 will not be sufficient to fund its planned operations for at least one year from the issuance date of the unaudited condensed consolidated financial statements, included elsewhere in this Quarterly Report, which raises substantial doubt as to our ability to continue as a going concern. We plan to seek additional funding through equity offerings, including through our ATM Facility once available, or debt financings, credit or loan facilities, strategic alliances and licensing arrangements. However, there can be no assurance that such funding will be available to us, will be obtained on terms favorable to us, or will provide us with sufficient funds to meet our objectives.</w:t>
      </w:r>
    </w:p>
    <w:p>
      <w:pPr>
        <w:spacing w:after="0" w:line="17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anticipate that we will continue to incur significant and potentially increasing expenses for the foreseeable future as we continue to advance our product candidates, expand our corporate infrastructure, including the costs associated with being a public company following the Merger, further our research and development initiatives for our product candidates and incur costs associated with the potential commercialization of our product candidates, if approved. We are subject to all of the risks typically related to the development of new drug candidates, and may encounter unforeseen expenses, difficulties, complications, delays and other unknown factors that may adversely affect our business. We anticipate that we will need substantial additional funding in connection with our continuing operations. However, we may be unable to raise additional funds or enter into such other arrangements when needed on favorable terms or at all.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or other restrictions limiting our ability to engage in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19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720" w:right="3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initiation, progress, timing, costs and results of preclinical studies and clinical trials for our potential future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clinical development plans we establish for our product candidates;</w:t>
      </w:r>
    </w:p>
    <w:p>
      <w:pPr>
        <w:spacing w:after="0" w:line="22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timelines of our clinical trials and the overall costs to conduct and complete the clinical trials, including any increased costs due to disruptions caused by marketplace conditions, including the effects of health epidemics, or other geopolitical and macroeconomic conditions;</w:t>
      </w:r>
    </w:p>
    <w:p>
      <w:pPr>
        <w:spacing w:after="0" w:line="17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and capital commitments required for manufacturing our product candidates at clinical and, if approved, commercial scales;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number and characteristics of product candidates that we develop;</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we are able to enter into future collaboration agreements and the terms of any such agreements;</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to achieve and timing of achieving a favorable pricing and reimbursement decision by the pricing authorities in the markets of interest;</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filing, prosecuting, defending and enforcing our patent claims and other intellectual property rights, including patent infringement actions brought by third parties against us or our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and timing of completion of commercial-scale outsourced manufacturing activities;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establishing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See the section titled “Risk Factors” set forth in this Quarterly Report and in our Annual Report on Form 10-K for the year ended December 31, 2025, as filed with the SEC on March 31, 2026, for additional risks associated with our substantial capital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3"/>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 was $5.9 million for the three months ended March 31, 2026, reflecting a net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$6.8 million, partially offset by net changes in operating assets and liabilities of $0.6 million and non-cash changes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$0.4 million. The net changes in operating assets and liabilities were primarily driven by a $0.4 million decrease in prepaid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and other current assets, attributable to timing of payments for pre-clinical activities and prepaid insurance, and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$0.2 million increase in accounts payable and accrued expenses, driven by the timing of invoices and payments.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non-cash expenses were primarily driven by $0.4 million related to stock-based compensation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231F20"/>
        </w:rPr>
        <w:t>Net cash used in operating activities was $7.7 million for the three months ended March 31, 2025, reflecting a net loss of $9.6 million, net of changes in operating assets and liabilities of $3.7 million, and non-cash changes of $5.5 million. The net changes in operating assets and liabilities of $3.7 million was primarily driven by (i) a $1.0 million increase in prepaid expenses and other current assets, attributable to the timing of patient enrollments and (ii) a $2.6 million decrease in accounts payable and accrued expenses, driven by the timing of invoices and payments. The $5.5 million in non-cash expenses was primarily driven by $4.9 million related to the change in fair value of our Convertible Notes, and $0.6 million in interest accrued on our Convertible Notes during the first quarter of 2025. The Convertible Notes were converted into common stock during the second quarter of 2025 due to the Merger.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$5.0 million for the three months ended March 31, 2026, attributable to maturities of short-term investments of $5.0 million.</w:t>
      </w:r>
    </w:p>
    <w:p>
      <w:pPr>
        <w:spacing w:after="0" w:line="162"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$10.9 million for the three months ended March 31, 2025, attributable to purchases of short-term investments of $16.4 million, partially offset by maturities of short-term investments of $5.5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cash flows from financing activities for the three months ended March 31, 2026.</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net cash used in financing activities for the three months ended March 31, 2025 was primarily due to the payments of deferred offering costs associated with the Merger.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lease space under one operating lease agreement for corporate office space in Sugar Land, Texas, which expires in August 2027. As of March 31, 2026, we had future operating lease liabilities of $0.2 million, of which $0.1 million is included within operating lease liabilities, current portion on our condensed consolidated balance sheet.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discussed above, we have license agreements with BCM for exclusive use of patent rights of TTI-101. The license agreements contain terms for annual maintenance fees, milestone payments and net revenue royalties. Annual maintenance fees range from $30,000 to $50,000 per year, per license. Potential milestone payments are up to $1,225,000 in the aggregate per license. Milestones include new drug filings, clinical trial stages, and NDA approval by the FDA. We are obligated to pay BCM royalties in the amount of a low single-digit percent of net sales of BCM1 Licensed Products or BCM2 Licensed Products during the term, which expire, on a country-by-country basis, on the later of (i) the date of expiration of BCM Patent Rights or Licensed Patent Rights, whichever is the last to expire, or, (ii) if no BCM Patent Rights or Licensed Patent Rights are issued in such country, the tenth anniversary the first commercial sale of the BCM1 Licensed Products or BCM2 Licensed Products in such country. License fees are expensed as incurred within research and development within our condensed consolidated statements of operations and comprehensive loss. Under the BCM First Agreement, we accrued $12,500 in annual maintenance fees as of March 31, 2026. As of December 31, 2025, the full amount of $50,000 in annual maintenance fees had already been paid and thus no accrual was needed. No payments for maintenance or milestone fees were made during the three months ended March 31, 2026 and 2025. No royalty fees have been incurred to date.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Capital Requirements and Additional Royalty Obligations</w:t>
      </w:r>
    </w:p>
    <w:p>
      <w:pPr>
        <w:spacing w:after="0" w:line="229"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We enter into agreements in the normal course of business with various third-party providers for the provision of research and development services, which include preclinical studies and clinical trial services with CROs and the manufacturing of product candidates for use in our preclinical studies and clinical trials with CDMOs. These agreements may include certain provisions for purchase obligations and termination obligations that could require payments for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w:t>
      </w:r>
    </w:p>
    <w:p>
      <w:pPr>
        <w:spacing w:after="0" w:line="1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obligation to make potential royalty payments under the BCM First Agreement and BCM Second Agreement discussed above, pursuant to our founder restricted stock purchase agreements with each of our founders, David J. Tweardy, M.D. and Ron DePinho, M.D., we are also obligated to pay royalties to each such founder in an amount equal to 1% each on the worldwide net sales of TTI-101 and any derivative formulations (a Royalty Bearing Product). These royalty obligations last, on a country-by-country basis, for the later of (i) the date on which the sale of Royalty Bearing Product is no longer covered by a Covered Patent (as defined below) in such country, or (ii) 15 years after the first commercial sale of Royalty Bearing Product in such country. The timing of when our royalty payments will actually be made is uncertain as the payments are contingent upon future activities, including the successful development, regulatory approval and commercialization of Royalty Bearing Product. A Covered Patent means, subject to certain customary exceptions, an issued patent that is owned by us or an affiliate, or for which all rights to develop and commercialize pharmaceutical products for the treatment of any human disorder, are exclusively licensed to us or an affiliate by the owner of such patent, with our right or our affiliate’s right to grant sublicenses.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Our unaudited condensed consolidated financial statements are prepared in accordance with U.S. GAAP. The preparation of the unaudited condensed consolidated financial statements and related disclosures requires management to make estimates and judgments that affect the reported amounts of assets, liabilities and expenses in our unaudited condensed consolidated financial statements. We base our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Our actual results may differ from these estimates.</w:t>
      </w:r>
    </w:p>
    <w:p>
      <w:pPr>
        <w:spacing w:after="0" w:line="171"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to the consolidated financial statements included in our Annual Report on Form 10-K for the year ended December 31, 2025, as filed with the SEC on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do not expect that any recently issued accounting pronouncements will have a material effect on our financial position, results of operations or cash flows. Refer to Note 2 of Notes to Condensed Consolidated Financial Statements,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this Quarterly Report, for a full description of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adopted, and issued but not yet adopted, if applicable.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from those disclosed in our Annual Report on Form 10-K for the year ended December 31, 2025, as filed with the SEC on March 31, 2026. Accordingly, the information required by this Item is incorporated herein by reference to Item 7A, “Quantitative and Qualitative Disclosures About Market Risk,” of our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to provide reasonable assurance that information required to be disclosed by us in the reports that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as appropriate to allow timely decisions regarding required disclosures. Pursuant to Rules 13a-15(e) and 15d-15(e) under the Exchange Act, our management, with the participation of our principal executive officer and principal financial officer, has evaluated the effectiveness of our disclosure controls and procedures as of March 31, 2026. See below “</w:t>
      </w:r>
      <w:r>
        <w:rPr>
          <w:rFonts w:ascii="Times New Roman" w:cs="Times New Roman" w:eastAsia="Times New Roman" w:hAnsi="Times New Roman"/>
          <w:sz w:val="18"/>
          <w:szCs w:val="18"/>
          <w:i w:val="1"/>
          <w:iCs w:val="1"/>
          <w:color w:val="auto"/>
        </w:rPr>
        <w:t>Material Weaknesses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Based on our evaluation, our principal executive officer and principal financial officer have concluded that, as of March 31, 2026, our disclosure controls and procedures were not effective at a reasonable assurance level as a result of material weaknesses that existed in our internal control over financial reporting as described below.</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quarter ended March 31, 2026 that has materially affected, or is reasonably likely to materially affect, our internal control over financial reporting.</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Limitations on Controls and Procedures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Management, including our principal executive officer and principal financial officer,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Because of the inherent limitations of the effectiveness of all control systems, no evaluation of controls and procedures can provide absolute assurance that all control issues and instances of fraud, if any, within Tvardi have been detected.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 ended December 31, 2025, material weaknesses were identified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and lacked a sufficient number of professionals to consistently establish appropriate authorities and responsibilities in pursuit of our financial reporting objectives. The lack of sufficient number of finance and accounting professionals contributed to the inadequate design and inability to maintain effective controls over the segregation of duties.</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further identified material weaknesses in our internal control over financial reporting which relate to: (a) the lack of a formalized risk assessment process; (b) inadequate review of financial statements and disclosures; (c) inadequate review of the prepaid and accrued research and development expenses related to the CRO; and (d) the lack of formal monitoring activities related to the evaluation of internal controls.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Status of Remediation of Material Weaknesses</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To remediate the material weaknesses, we have begun a formal risk assessment process to identify control gaps and design new procedures and controls to remediate the identified material weaknesses. We are also establishing a monitoring program to evaluate the presence and functioning of internal controls. We have added additional experienced accounting and financial reporting personnel and resources and are formalizing the design and implementation of internal controls over the financial reporting process.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The measures we have taken to date, and are continuing to design and implement, may not be sufficient to remediate the material weaknesses we identified or avoid potential future material weaknesses.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consolidated financial statements would not be prevented or detected on a timely basis.</w:t>
      </w:r>
    </w:p>
    <w:p>
      <w:pPr>
        <w:spacing w:after="0" w:line="190"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 2026, management will test and evaluate the related internal controls to ascertain whether they are designed and operating effectively to provide reasonable assurance that they will prevent or detect a material error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On March 6, 2026, Shaheen Wirk, Palkon Holdings, LLC, and Palkon TT Holdings, LLC filed a complaint in the Supreme Court of the State of New York, County of New York, alleging that we breached the Registration Rights Agreement, dated April 15, 2025, by and among us and the investors party thereto (Registration Rights Agreement) by failing to timely cause a resale registration statement to be declared effective. Such right to an effective resale registration statement had been waived by a majority of the holders of the registrable securities, as defined in the Registration Rights Agreement.</w:t>
      </w:r>
    </w:p>
    <w:p>
      <w:pPr>
        <w:spacing w:after="0" w:line="18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are, and from time to time, we may be subject to legal proceedings and claims arising in the ordinary course of our business. We are not currently a party or aware of any proceedings that we believe will have, individually or in the aggregate, a material adverse effect on our business, financial condition or results of operations. The results of any future legal proceedings or claims cannot be predicted with certainty, and regardless of the outcome, litigation can have an adverse impact on us because of defense and litigation costs, diversion of management resources, and other factors.</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Our business is subject to risks and events that, if they occur, could adversely affect our financial condition and results of operations and growth prospects. In such an event, the market price of our common stock could decline. In addition to the other information in this Quarterly Report on Form 10-Q, including the unaudited condensed consolidated financial statements and related notes and the section titled “Management’s Discussion and Analysis of Financial Condition and Results of Operations,” you should carefully consider the factors described in Part I, Item 1A. “Risk Factors” of our Annual Report on Form 10-K filed with the SEC on March 31, 2026. We may disclose changes to risk factors or disclose additional risk factors from time to time in our future filings with the SEC. Additional risks and uncertainties not presently known to us or that we currently deem immaterial also may impair our business operations and the market price of our common stock.</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42424"/>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69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79"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87"/>
        </w:trPr>
        <w:tc>
          <w:tcPr>
            <w:tcW w:w="20" w:type="dxa"/>
            <w:vAlign w:val="bottom"/>
          </w:tcPr>
          <w:p>
            <w:pPr>
              <w:spacing w:after="0"/>
              <w:rPr>
                <w:sz w:val="16"/>
                <w:szCs w:val="16"/>
                <w:color w:val="auto"/>
              </w:rPr>
            </w:pPr>
          </w:p>
        </w:tc>
        <w:tc>
          <w:tcPr>
            <w:tcW w:w="8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3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38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540" w:type="dxa"/>
            <w:vAlign w:val="bottom"/>
            <w:gridSpan w:val="7"/>
          </w:tcPr>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51">
              <w:r>
                <w:rPr>
                  <w:rFonts w:ascii="Times New Roman" w:cs="Times New Roman" w:eastAsia="Times New Roman" w:hAnsi="Times New Roman"/>
                  <w:sz w:val="18"/>
                  <w:szCs w:val="18"/>
                  <w:color w:val="0000EE"/>
                </w:rPr>
                <w:t>Agreement and Plan of Merger and</w:t>
              </w:r>
            </w:hyperlink>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8-K</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​​​001-36279</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December 18, 2024</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Reorganization, dated as of December 17,</w:t>
              </w:r>
            </w:hyperlink>
          </w:p>
        </w:tc>
        <w:tc>
          <w:tcPr>
            <w:tcW w:w="3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2024, by and among Cara Therapeutics, Inc.,</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6"/>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CT Convergence Merger Sub, Inc. and Tvardi</w:t>
              </w:r>
            </w:hyperlink>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Therapeutics, Inc.</w:t>
              </w:r>
            </w:hyperlink>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20" w:type="dxa"/>
            <w:vAlign w:val="bottom"/>
            <w:gridSpan w:val="24"/>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Certificate of</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7, 2014</w:t>
            </w:r>
          </w:p>
        </w:tc>
      </w:tr>
      <w:tr>
        <w:trPr>
          <w:trHeight w:val="196"/>
        </w:trPr>
        <w:tc>
          <w:tcPr>
            <w:tcW w:w="10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3">
              <w:r>
                <w:rPr>
                  <w:rFonts w:ascii="Times New Roman" w:cs="Times New Roman" w:eastAsia="Times New Roman" w:hAnsi="Times New Roman"/>
                  <w:sz w:val="18"/>
                  <w:szCs w:val="18"/>
                  <w:color w:val="0000EE"/>
                  <w:w w:val="97"/>
                </w:rPr>
                <w:t>Incorporation.</w:t>
              </w:r>
            </w:hyperlink>
          </w:p>
        </w:tc>
        <w:tc>
          <w:tcPr>
            <w:tcW w:w="1640" w:type="dxa"/>
            <w:vAlign w:val="bottom"/>
            <w:tcBorders>
              <w:top w:val="single" w:sz="8" w:color="0000EE"/>
            </w:tcBorders>
            <w:gridSpan w:val="7"/>
          </w:tcPr>
          <w:p>
            <w:pPr>
              <w:spacing w:after="0"/>
              <w:rPr>
                <w:sz w:val="17"/>
                <w:szCs w:val="17"/>
                <w:color w:val="auto"/>
              </w:rPr>
            </w:pPr>
          </w:p>
        </w:tc>
        <w:tc>
          <w:tcPr>
            <w:tcW w:w="76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1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Certificate of Amendment to Amended and</w:t>
              </w:r>
            </w:hyperlink>
          </w:p>
        </w:tc>
        <w:tc>
          <w:tcPr>
            <w:tcW w:w="30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June 7, 2024</w:t>
            </w:r>
          </w:p>
        </w:tc>
      </w:tr>
      <w:tr>
        <w:trPr>
          <w:trHeight w:val="196"/>
        </w:trPr>
        <w:tc>
          <w:tcPr>
            <w:tcW w:w="1000" w:type="dxa"/>
            <w:vAlign w:val="bottom"/>
          </w:tcPr>
          <w:p>
            <w:pPr>
              <w:spacing w:after="0"/>
              <w:rPr>
                <w:sz w:val="17"/>
                <w:szCs w:val="17"/>
                <w:color w:val="auto"/>
              </w:rPr>
            </w:pPr>
          </w:p>
        </w:tc>
        <w:tc>
          <w:tcPr>
            <w:tcW w:w="3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Restated Certificate of Incorporation dated</w:t>
              </w:r>
            </w:hyperlink>
          </w:p>
        </w:tc>
        <w:tc>
          <w:tcPr>
            <w:tcW w:w="34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June 7, 2024 (First Authorized Shares</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w:t>
              </w:r>
            </w:hyperlink>
          </w:p>
        </w:tc>
        <w:tc>
          <w:tcPr>
            <w:tcW w:w="70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1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Certificate of Amendment to Amended and</w:t>
              </w:r>
            </w:hyperlink>
          </w:p>
        </w:tc>
        <w:tc>
          <w:tcPr>
            <w:tcW w:w="30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December 30, 2024</w:t>
            </w:r>
          </w:p>
        </w:tc>
      </w:tr>
      <w:tr>
        <w:trPr>
          <w:trHeight w:val="196"/>
        </w:trPr>
        <w:tc>
          <w:tcPr>
            <w:tcW w:w="1000" w:type="dxa"/>
            <w:vAlign w:val="bottom"/>
          </w:tcPr>
          <w:p>
            <w:pPr>
              <w:spacing w:after="0"/>
              <w:rPr>
                <w:sz w:val="17"/>
                <w:szCs w:val="17"/>
                <w:color w:val="auto"/>
              </w:rPr>
            </w:pPr>
          </w:p>
        </w:tc>
        <w:tc>
          <w:tcPr>
            <w:tcW w:w="3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Restated Certificate of Incorporation dated</w:t>
              </w:r>
            </w:hyperlink>
          </w:p>
        </w:tc>
        <w:tc>
          <w:tcPr>
            <w:tcW w:w="34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December 30, 2024 (First Stock Split</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Amendment).</w:t>
              </w:r>
            </w:hyperlink>
          </w:p>
        </w:tc>
        <w:tc>
          <w:tcPr>
            <w:tcW w:w="74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Certificate of Amendment to the Amended</w:t>
              </w:r>
            </w:hyperlink>
          </w:p>
        </w:tc>
        <w:tc>
          <w:tcPr>
            <w:tcW w:w="3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April 15, 2025</w:t>
            </w: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and Restated Certificate of Incorporation of</w:t>
              </w:r>
            </w:hyperlink>
          </w:p>
        </w:tc>
        <w:tc>
          <w:tcPr>
            <w:tcW w:w="2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Cara Therapeutics, Inc., dated April 15, 2025</w:t>
              </w:r>
            </w:hyperlink>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(Second Stock Split Amendment).</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Amendment to the Amended</w:t>
              </w:r>
            </w:hyperlink>
          </w:p>
        </w:tc>
        <w:tc>
          <w:tcPr>
            <w:tcW w:w="3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April 15, 2025</w:t>
            </w: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and Restated Certificate of Incorporation of</w:t>
              </w:r>
            </w:hyperlink>
          </w:p>
        </w:tc>
        <w:tc>
          <w:tcPr>
            <w:tcW w:w="2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Cara Therapeutics, Inc., dated April 15, 2025</w:t>
              </w:r>
            </w:hyperlink>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(Second Authorized Shares Amendment).</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Certificate of Amendment to the Amended</w:t>
              </w:r>
            </w:hyperlink>
          </w:p>
        </w:tc>
        <w:tc>
          <w:tcPr>
            <w:tcW w:w="3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April 15, 2025</w:t>
            </w: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and Restated Certificate of Incorporation of</w:t>
              </w:r>
            </w:hyperlink>
          </w:p>
        </w:tc>
        <w:tc>
          <w:tcPr>
            <w:tcW w:w="2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Cara Therapeutics, Inc., dated April 15, 2025</w:t>
              </w:r>
            </w:hyperlink>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(Name Change Amendment).</w:t>
              </w:r>
            </w:hyperlink>
          </w:p>
        </w:tc>
        <w:tc>
          <w:tcPr>
            <w:tcW w:w="130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2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Bylaws.</w:t>
              </w:r>
            </w:hyperlink>
          </w:p>
        </w:tc>
        <w:tc>
          <w:tcPr>
            <w:tcW w:w="1120" w:type="dxa"/>
            <w:vAlign w:val="bottom"/>
            <w:gridSpan w:val="18"/>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001-36279</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0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Tvardi Therapeutics, Inc. pursuant to Rule</w:t>
            </w:r>
          </w:p>
        </w:tc>
        <w:tc>
          <w:tcPr>
            <w:tcW w:w="36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0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13a-14(a)/15d-14(a) of the Securities</w:t>
            </w:r>
          </w:p>
        </w:tc>
        <w:tc>
          <w:tcPr>
            <w:tcW w:w="38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w:t>
            </w:r>
          </w:p>
        </w:tc>
        <w:tc>
          <w:tcPr>
            <w:tcW w:w="980" w:type="dxa"/>
            <w:vAlign w:val="bottom"/>
            <w:tcBorders>
              <w:top w:val="single" w:sz="8" w:color="0000EE"/>
            </w:tcBorders>
            <w:gridSpan w:val="5"/>
          </w:tcPr>
          <w:p>
            <w:pPr>
              <w:spacing w:after="0"/>
              <w:rPr>
                <w:sz w:val="17"/>
                <w:szCs w:val="17"/>
                <w:color w:val="auto"/>
              </w:rPr>
            </w:pPr>
          </w:p>
        </w:tc>
        <w:tc>
          <w:tcPr>
            <w:tcW w:w="76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w:t>
            </w:r>
          </w:p>
        </w:tc>
        <w:tc>
          <w:tcPr>
            <w:tcW w:w="40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Tvardi Therapeutics, Inc. pursuant to Rule</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0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13a-14(a)/15d-14(a) of the Securities</w:t>
            </w:r>
          </w:p>
        </w:tc>
        <w:tc>
          <w:tcPr>
            <w:tcW w:w="38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Exchange Act of 1934.</w:t>
            </w:r>
          </w:p>
        </w:tc>
        <w:tc>
          <w:tcPr>
            <w:tcW w:w="1000" w:type="dxa"/>
            <w:vAlign w:val="bottom"/>
            <w:tcBorders>
              <w:top w:val="single" w:sz="8" w:color="0000EE"/>
            </w:tcBorders>
            <w:gridSpan w:val="6"/>
          </w:tcPr>
          <w:p>
            <w:pPr>
              <w:spacing w:after="0"/>
              <w:rPr>
                <w:sz w:val="17"/>
                <w:szCs w:val="17"/>
                <w:color w:val="auto"/>
              </w:rPr>
            </w:pPr>
          </w:p>
        </w:tc>
        <w:tc>
          <w:tcPr>
            <w:tcW w:w="76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Certifications of Chief Executive Officer and</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2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of Tvardi</w:t>
            </w:r>
          </w:p>
        </w:tc>
        <w:tc>
          <w:tcPr>
            <w:tcW w:w="1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Therapeutics, Inc. pursuant to 18 U.S.C.</w:t>
            </w:r>
          </w:p>
        </w:tc>
        <w:tc>
          <w:tcPr>
            <w:tcW w:w="5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0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8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gridSpan w:val="12"/>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Calculation Linkbase.</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3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Presentation Linkbase.</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Linkbase.</w:t>
      </w:r>
    </w:p>
    <w:p>
      <w:pPr>
        <w:spacing w:after="0" w:line="200" w:lineRule="exact"/>
        <w:rPr>
          <w:sz w:val="20"/>
          <w:szCs w:val="20"/>
          <w:color w:val="auto"/>
        </w:rPr>
      </w:pPr>
    </w:p>
    <w:p>
      <w:pPr>
        <w:sectPr>
          <w:pgSz w:w="11900" w:h="16838" w:orient="portrait"/>
          <w:cols w:equalWidth="0" w:num="2">
            <w:col w:w="820" w:space="240"/>
            <w:col w:w="7959"/>
          </w:cols>
          <w:pgMar w:left="1440" w:top="513" w:right="1440" w:bottom="144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200" w:lineRule="exact"/>
        <w:rPr>
          <w:sz w:val="20"/>
          <w:szCs w:val="20"/>
          <w:color w:val="auto"/>
        </w:rPr>
      </w:pPr>
    </w:p>
    <w:p>
      <w:pPr>
        <w:sectPr>
          <w:pgSz w:w="11900" w:h="16838" w:orient="portrait"/>
          <w:cols w:equalWidth="0" w:num="2">
            <w:col w:w="800" w:space="260"/>
            <w:col w:w="7959"/>
          </w:cols>
          <w:pgMar w:left="1440" w:top="513" w:right="1440" w:bottom="144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83185</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40"/>
            <w:col w:w="7959"/>
          </w:cols>
          <w:pgMar w:left="1440" w:top="513" w:right="1440" w:bottom="1440" w:gutter="0" w:footer="0" w:header="0"/>
          <w:type w:val="continuous"/>
        </w:sectPr>
      </w:pPr>
    </w:p>
    <w:p>
      <w:pPr>
        <w:spacing w:after="0" w:line="34"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right="199" w:hanging="330"/>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 w:lineRule="exact"/>
        <w:rPr>
          <w:sz w:val="20"/>
          <w:szCs w:val="20"/>
          <w:color w:val="auto"/>
        </w:rPr>
      </w:pPr>
    </w:p>
    <w:p>
      <w:pPr>
        <w:ind w:left="380" w:right="219" w:hanging="330"/>
        <w:spacing w:after="0" w:line="26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undertakes to furnish supplemental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62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TVARDI THERAPEUTICS, INC.</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IMRAN ALIBHAI</w:t>
            </w:r>
          </w:p>
        </w:tc>
      </w:tr>
      <w:tr>
        <w:trPr>
          <w:trHeight w:val="191"/>
        </w:trPr>
        <w:tc>
          <w:tcPr>
            <w:tcW w:w="2600" w:type="dxa"/>
            <w:vAlign w:val="bottom"/>
          </w:tcPr>
          <w:p>
            <w:pPr>
              <w:spacing w:after="0"/>
              <w:rPr>
                <w:sz w:val="16"/>
                <w:szCs w:val="16"/>
                <w:color w:val="auto"/>
              </w:rPr>
            </w:pPr>
          </w:p>
        </w:tc>
        <w:tc>
          <w:tcPr>
            <w:tcW w:w="1860" w:type="dxa"/>
            <w:vAlign w:val="bottom"/>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Imran Alibhai</w:t>
            </w:r>
          </w:p>
        </w:tc>
      </w:tr>
      <w:tr>
        <w:trPr>
          <w:trHeight w:val="214"/>
        </w:trPr>
        <w:tc>
          <w:tcPr>
            <w:tcW w:w="2600" w:type="dxa"/>
            <w:vAlign w:val="bottom"/>
          </w:tcPr>
          <w:p>
            <w:pPr>
              <w:spacing w:after="0"/>
              <w:rPr>
                <w:sz w:val="18"/>
                <w:szCs w:val="18"/>
                <w:color w:val="auto"/>
              </w:rPr>
            </w:pPr>
          </w:p>
        </w:tc>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CONN</w:t>
            </w:r>
          </w:p>
        </w:tc>
      </w:tr>
      <w:tr>
        <w:trPr>
          <w:trHeight w:val="191"/>
        </w:trPr>
        <w:tc>
          <w:tcPr>
            <w:tcW w:w="2600" w:type="dxa"/>
            <w:vAlign w:val="bottom"/>
          </w:tcPr>
          <w:p>
            <w:pPr>
              <w:spacing w:after="0"/>
              <w:rPr>
                <w:sz w:val="16"/>
                <w:szCs w:val="16"/>
                <w:color w:val="auto"/>
              </w:rPr>
            </w:pPr>
          </w:p>
        </w:tc>
        <w:tc>
          <w:tcPr>
            <w:tcW w:w="1860" w:type="dxa"/>
            <w:vAlign w:val="bottom"/>
          </w:tcPr>
          <w:p>
            <w:pPr>
              <w:ind w:left="1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 Conn</w:t>
            </w:r>
          </w:p>
        </w:tc>
      </w:tr>
      <w:tr>
        <w:trPr>
          <w:trHeight w:val="214"/>
        </w:trPr>
        <w:tc>
          <w:tcPr>
            <w:tcW w:w="2600" w:type="dxa"/>
            <w:vAlign w:val="bottom"/>
          </w:tcPr>
          <w:p>
            <w:pPr>
              <w:spacing w:after="0"/>
              <w:rPr>
                <w:sz w:val="18"/>
                <w:szCs w:val="18"/>
                <w:color w:val="auto"/>
              </w:rPr>
            </w:pPr>
          </w:p>
        </w:tc>
        <w:tc>
          <w:tcPr>
            <w:tcW w:w="1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Imran Alibhai, certify that:</w:t>
      </w:r>
    </w:p>
    <w:p>
      <w:pPr>
        <w:spacing w:after="0" w:line="212" w:lineRule="exact"/>
        <w:rPr>
          <w:sz w:val="20"/>
          <w:szCs w:val="20"/>
          <w:color w:val="auto"/>
        </w:rPr>
      </w:pPr>
    </w:p>
    <w:p>
      <w:pPr>
        <w:ind w:left="240" w:hanging="190"/>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Tvardi Therapeutics, Inc.;</w:t>
      </w:r>
    </w:p>
    <w:p>
      <w:pPr>
        <w:spacing w:after="0" w:line="198"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0" w:right="31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640" w:right="419" w:hanging="333"/>
        <w:spacing w:after="0" w:line="261"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640" w:right="139" w:hanging="333"/>
        <w:spacing w:after="0" w:line="261"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640" w:right="259" w:hanging="333"/>
        <w:spacing w:after="0" w:line="266"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640" w:right="179" w:hanging="333"/>
        <w:spacing w:after="0" w:line="261"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60" w:right="9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40" w:right="239" w:hanging="333"/>
        <w:spacing w:after="0" w:line="266"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40" w:right="299" w:hanging="333"/>
        <w:spacing w:after="0" w:line="282"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2026</w:t>
            </w:r>
          </w:p>
        </w:tc>
        <w:tc>
          <w:tcPr>
            <w:tcW w:w="554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Imran Alibhai</w:t>
            </w:r>
          </w:p>
        </w:tc>
      </w:tr>
      <w:tr>
        <w:trPr>
          <w:trHeight w:val="191"/>
        </w:trPr>
        <w:tc>
          <w:tcPr>
            <w:tcW w:w="3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IMRAN ALIBHAI</w:t>
            </w:r>
          </w:p>
        </w:tc>
        <w:tc>
          <w:tcPr>
            <w:tcW w:w="2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Dan Conn, certify that:</w:t>
      </w:r>
    </w:p>
    <w:p>
      <w:pPr>
        <w:spacing w:after="0" w:line="212" w:lineRule="exact"/>
        <w:rPr>
          <w:sz w:val="20"/>
          <w:szCs w:val="20"/>
          <w:color w:val="auto"/>
        </w:rPr>
      </w:pPr>
    </w:p>
    <w:p>
      <w:pPr>
        <w:ind w:left="240" w:hanging="190"/>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Tvardi Therapeutics, Inc.;</w:t>
      </w:r>
    </w:p>
    <w:p>
      <w:pPr>
        <w:spacing w:after="0" w:line="198"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0" w:right="319" w:hanging="10"/>
        <w:spacing w:after="0" w:line="266"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640" w:right="419" w:hanging="333"/>
        <w:spacing w:after="0" w:line="261"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640" w:right="139" w:hanging="333"/>
        <w:spacing w:after="0" w:line="261"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640" w:right="259" w:hanging="333"/>
        <w:spacing w:after="0" w:line="266"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640" w:right="179" w:hanging="333"/>
        <w:spacing w:after="0" w:line="261"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60" w:right="99" w:hanging="10"/>
        <w:spacing w:after="0" w:line="266"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40" w:right="239" w:hanging="333"/>
        <w:spacing w:after="0" w:line="266"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40" w:right="299" w:hanging="333"/>
        <w:spacing w:after="0" w:line="282"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2026</w:t>
            </w:r>
          </w:p>
        </w:tc>
        <w:tc>
          <w:tcPr>
            <w:tcW w:w="592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By: /s/ Dan Conn</w:t>
            </w:r>
          </w:p>
        </w:tc>
      </w:tr>
      <w:tr>
        <w:trPr>
          <w:trHeight w:val="191"/>
        </w:trPr>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 CONN</w:t>
            </w:r>
          </w:p>
        </w:tc>
        <w:tc>
          <w:tcPr>
            <w:tcW w:w="2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TVARDI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left="60" w:right="139" w:firstLine="454"/>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Tvardi Therapeutics, Inc. (the “Company”) for the quarter ended March 31, 2026, as filed with the Securities and Exchange Commission on the date hereof (the “Report”), Imran Alibhai, Chief Executive Officer of the Company, and Dan Conn, Chief Financial Officer of the Company, each hereby certifies, pursuant to the requirement set forth in Rule 13a-14(b) of the Securities Exchange Act of 1934, as amended, (the “Exchange Act”) and Section 1350 of Chapter 63 of Title 18 of the United States Code (18 U.S.C. §1350), that, to the best of his knowledge, based upon a review of the Report:</w:t>
      </w:r>
    </w:p>
    <w:p>
      <w:pPr>
        <w:spacing w:after="0" w:line="187" w:lineRule="exact"/>
        <w:rPr>
          <w:sz w:val="20"/>
          <w:szCs w:val="20"/>
          <w:color w:val="auto"/>
        </w:rPr>
      </w:pPr>
    </w:p>
    <w:p>
      <w:pPr>
        <w:ind w:left="820" w:hanging="32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820" w:right="499" w:hanging="324"/>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IMRAN ALIBHAI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Imran Alibhai</w:t>
      </w:r>
    </w:p>
    <w:p>
      <w:pPr>
        <w:spacing w:after="0" w:line="23"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8, 2026</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Dan Conn</w:t>
      </w:r>
    </w:p>
    <w:p>
      <w:pPr>
        <w:spacing w:after="0" w:line="23"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8,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Tvardi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2"/>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51" Type="http://schemas.openxmlformats.org/officeDocument/2006/relationships/hyperlink" Target="https://www.sec.gov/Archives/edgar/data/1346830/000110465924129596/tm2431150d1_ex2-1.htm" TargetMode="External"/><Relationship Id="rId53" Type="http://schemas.openxmlformats.org/officeDocument/2006/relationships/hyperlink" Target="https://www.sec.gov/Archives/edgar/data/1346830/000119312514040346/d670092dex31.htm" TargetMode="External"/><Relationship Id="rId54" Type="http://schemas.openxmlformats.org/officeDocument/2006/relationships/hyperlink" Target="https://www.sec.gov/Archives/edgar/data/1346830/000110465924069625/tm2416682d1_ex3-1.htm" TargetMode="External"/><Relationship Id="rId55" Type="http://schemas.openxmlformats.org/officeDocument/2006/relationships/hyperlink" Target="https://www.sec.gov/Archives/edgar/data/1346830/000110465924132481/tm2430195d4_ex3-1.htm" TargetMode="External"/><Relationship Id="rId56" Type="http://schemas.openxmlformats.org/officeDocument/2006/relationships/hyperlink" Target="https://www.sec.gov/Archives/edgar/data/1346830/000110465925035121/tm2512159d1_ex3-1.htm" TargetMode="External"/><Relationship Id="rId57" Type="http://schemas.openxmlformats.org/officeDocument/2006/relationships/hyperlink" Target="https://www.sec.gov/Archives/edgar/data/1346830/000110465925035121/tm2512159d1_ex3-2.htm" TargetMode="External"/><Relationship Id="rId58" Type="http://schemas.openxmlformats.org/officeDocument/2006/relationships/hyperlink" Target="https://www.sec.gov/Archives/edgar/data/1346830/000110465925035121/tm2512159d1_ex3-3.htm" TargetMode="External"/><Relationship Id="rId59" Type="http://schemas.openxmlformats.org/officeDocument/2006/relationships/hyperlink" Target="https://www.sec.gov/Archives/edgar/data/1346830/000155837024015713/cara-202409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2026-05-08T06:13:39Z</dcterms:created>
  <dcterms:modified xsi:type="dcterms:W3CDTF">2026-05-08T06:13:39Z</dcterms:modified>
</cp:coreProperties>
</file>